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A/855/1999 vom 9. Mai 2000</w:t>
      </w:r>
    </w:p>
    <w:p>
      <w:r>
        <w:t>GE Cour de justice, 2000-05-09, FR</w:t>
      </w:r>
    </w:p>
    <w:p>
      <w:r>
        <w:rPr>
          <w:b/>
        </w:rPr>
        <w:t xml:space="preserve">Quelle: </w:t>
      </w:r>
      <w:r>
        <w:t>https://mcp.opencaselaw.ch/entscheid/ge_gerichte_A_855_1999</w:t>
      </w:r>
    </w:p>
    <w:p>
      <w:r>
        <w:t>FR: GE_GERICHTE A/855/1999 du 9 mai 2000</w:t>
      </w:r>
    </w:p>
    <w:p>
      <w:r>
        <w:t>IT: GE_GERICHTE A/855/1999 del 9 maggio 2000</w:t>
      </w:r>
    </w:p>
    <w:p>
      <w:pPr>
        <w:pStyle w:val="Heading2"/>
      </w:pPr>
      <w:r>
        <w:t>Regeste</w:t>
      </w:r>
    </w:p>
    <w:p>
      <w:r>
        <w:t>ASSU</w:t>
      </w:r>
    </w:p>
    <w:p>
      <w:pPr>
        <w:pStyle w:val="Heading2"/>
      </w:pPr>
      <w:r>
        <w:t>Erwägungen</w:t>
      </w:r>
    </w:p>
    <w:p>
      <w:r>
        <w:rPr>
          <w:b/>
        </w:rPr>
        <w:t>E. 1</w:t>
      </w:r>
    </w:p>
    <w:p>
      <w:r>
        <w:t>Les articles 106 et 107 LAA prévoient que le recours doit être déposé dans les trois mois suivant la notification de la décision sur opposition devant le Tribunal cantonal des assurances compétent, soit notamment celui du domicile de l'assurée (cf. également art. 56 C let. b de la loi sur l'organisation judiciaire du 22 novembre 1941 - LOJ - E 2 05). Interjeté en temps utile devant le Tribunal des assurances sociales du canton de domicile de l'assurée, le recours est recevable.</w:t>
      </w:r>
    </w:p>
    <w:p>
      <w:r>
        <w:rPr>
          <w:b/>
        </w:rPr>
        <w:t>E. 2</w:t>
      </w:r>
    </w:p>
    <w:p>
      <w:r>
        <w:t>Les exigences de coordination imposées par l'article 104 LAA et l'article 129 de l'ordonnance sur l'assurance-accidents du 20 décembre 1982 (OLAA - RS 832.202), obligent l'assureur accidents à entendre les autres assureurs sur la question de la répartition des prestations, voire d'autres assureurs sociaux qui pourraient être touchés par la décision (RAMA 2/1997, pp. 143-145, 3/1997, pp. 195-202; ATA D. du 14 décembre 1999, Z. du 30 novembre 1999 et A. du 26 mai 1998). L'article 71 de la loi sur la procédure administrative du 12 septembre 1985 (LPA - E 5 10) prévoit que l'autorité peut, d'office ou sur requête, ordonner l'appel en cause de tiers dont la situation juridique est susceptible d'être affectée par l'issue de la procédure (ATA D. de M. et D. du 23 mars 1999 et Ph. du 26 novembre 1996). Dans ce cas, la décision rendue est opposable à ce tiers. Selon la jurisprudence du Tribunal fédéral, les litiges concernant les assurances complémentaires, même si ces dernières sont offertes par une caisse maladie autorisée au sens de la LAMal, sont régies par l'article 47 de la loi fédérale du 23 juin 1978 sur la surveillance des institutions d'assurance privées (LSA; ATF 124 V 134 consid. 3 et 4b, p. 135-136, 123 V 324 consid. 3a et b p. 328-329). S'agissant toutefois des assureurs privés offrant des assurances complémentaires à l'assurance-maladie, la solution retenue récemment par ledit TFA conduit à ne pas pouvoir considérer comme partie à une procédure devant le tribunal de céans les assureurs privés (ATA d. S. du 11 avril 2000; cf. également Jean-Marie AGIER, Plaidoyer 6/99, pp. 52-53). La jurisprudence du Tribunal administratif (ATA d. S. précité, S. du 21 septembre 1999, N. du 2 mars 1999 et les arrêts cités) doit ainsi être confirmée, l'assureur privé garantissant des indemnités pour perte de gain ne pouvant donc être appelé en cause ou participer à la procédure qui oppose cet assuré à son assureur accidents. La X. s'est vu notifier la décision rendue sur opposition par la CNA le 2 juin 1999. Elle a été dès lors invitée à se déterminer. C'est à tort que l'assureur accidents a considéré la X. comme une partie à la procédure. Il aurait pu se contenter de tenir l'assureur perte de gain informé de sa propre décision. S'agissant par contre de l'assureur maladie, en application des principes rappelés ci-dessus, il y a lieu de le considérer comme une partie à la présente procédure, car il y a participé, dans la phase sur opposition déjà, et devant le juge de céans (cf. ATF n.p. R. du 17 mars 2000 a contrario).</w:t>
      </w:r>
    </w:p>
    <w:p>
      <w:r>
        <w:rPr>
          <w:b/>
        </w:rPr>
        <w:t>E. 3</w:t>
      </w:r>
    </w:p>
    <w:p>
      <w:r>
        <w:t>a. En vertu de l'article 6 alinéa 1 LAA, l'assureur accidents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 b.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118 V 286 et les références; ATFA D. du 28 juin 1995).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 En l'espèce, il résulte de tous les avis médicaux figurant au dossier, sauf le dernier émis par le dernier médecin traitant de la recourante, qu'il n'y a plus de lien de causalité entre l'accident que celle-ci a subi et les troubles physiques. C'est ainsi notamment que le médecin d'arrondissement a estimé que la fracture-luxation du coccyx était stabilisée et que l'extension des symptômes dans tout le membre inférieur droit n'avait pas de substrat organique. Cet avis a été corroboré par les médecins des HUG qui notent la discordance entre le comportement de l'intéressée et les constatations objectives. Enfin, l'orthopédiste qui a suivi l'évolution du cas, a estimé, dès le mois de novembre 1998, que les douleurs persistantes étaient en lien avec une probable surcharge psychogène. Cet avis est corroboré d'ailleurs par celui, ultérieur, de l'expert commis par un assureur tiers qui note également la discordance entre certaines constatations objectives faites par les somaticiens et l'attitude de l'intéressée. S'agissant des troubles psychiques, il faut noter que le même expert décèle un certain lien entre ces troubles et l'état de santé de la recourante, car il considère qu'il ne s'agit pas d'un cas de pur syndrome de conversion, mais qu'un certain substrat est présent. D'un point de vue strictement juridique, cette question peut souffrir de demeurer indécise. En effet, il y a lieu encore d'examiner si le critère de la causalité adéquate est satisfait.</w:t>
      </w:r>
    </w:p>
    <w:p>
      <w:r>
        <w:rPr>
          <w:b/>
        </w:rPr>
        <w:t>E. 4</w:t>
      </w:r>
    </w:p>
    <w:p>
      <w:r>
        <w:t>Le TFA a procédé à une classification des accidents entraînant des troubles psychiques réactionnels. Suivant la manière dont ils se sont déroulés, les accidents peuvent être classés en trois catégories : les accidents insignifiants ou de peu de gravité, les accidents graves et les accidents de gravité moyenne. Plus l'accident est grave, plus le lien de causalité est probable. La manière dont le lésé a vécu son accident n'est pas déterminante pour savoir si l'événement ayant entraîné des atteintes psychiques est grave, moyennement grave ou bénin; seul entre en considération le fait que l'atteinte ait été objectivement prévisible. a. Lorsque l'accident est insignifiant (l'assuré s'est par exemple cogné légèrement la tête ou s'est fait marcher sur le pied) ou de peu de gravité (il a été victime d'une chute banale), l'existence du lien de causalité adéquate entre cet événement et d'éventuels troubles psychiques peut, en règle générale, être d'emblée niée (ATF 115 V 133 et 403; ATA S. du 11 mars 1997). b.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 c.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dus aux lésions physiques. Il n'est toutefois pas nécessaire que soient réunis dans chaque cas tous les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352 , consid. 5b/aa p. 355; 117 V 359 , consid. 6 p. 366). d. Dans l'hypothèse de troubles psychiques, il convient encore de déterminer si les éléments qui caractérisent la situation personnelle de la recourante prennent le pas sur l'événement accidentel lui-même (ATF 113 V 321 consid. 3c p. 329). En l'espèce, l'événement accidentel lui-même est tout au plus de gravité moyenne. Les circonstances concomitantes n'étaient pas dramatiques, les lésions physiques n'étaient pas propres à entraîner des troubles psychiques, le traitement médical de ces lésions n'a pas été anormalement long et il n'a pas été entaché d'erreurs, il n'est pas apparu au cours de la guérison de difficultés ou de complications importantes et l'incapacité de travail, en tant qu'elle serait due aux seules lésions physiques, n'aurait pas été particulièrement longue. Certes, la recourante se plaint encore de douleurs physiques persistantes dont la réalité n'est pas mise en cause notamment par l'expert psychiatre. Il faut toutefois convenir que ces douleurs physiques sont dues avant tout à un syndrome de conversion, pur selon le psychiatre de la clinique de Bellikon, et mixte selon l'expert commis par un autre assureur. Même si le syndrome de conversion n'est pas pur, le substrat organique n'explique pas les douleurs physiques. Il faut dès lors considérer que ce sont pour des raisons psychiques sans rapport avec l'événement accidentel lui-même que l'intéressée n'a pas recouvré sa pleine capacité de travail et qu'elle considère qu'elle doit toujours recevoir des soins.</w:t>
      </w:r>
    </w:p>
    <w:p>
      <w:r>
        <w:rPr>
          <w:b/>
        </w:rPr>
        <w:t>E. 5</w:t>
      </w:r>
    </w:p>
    <w:p>
      <w:r>
        <w:t>Le recours devra donc être rejeté. En application de l'art. 108 al. 1er let. a LAA et 89G LPA,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