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A/852/2022 vom 27. April 2022</w:t>
      </w:r>
    </w:p>
    <w:p>
      <w:r>
        <w:t>GE Cour de justice, 2022-04-27, FR</w:t>
      </w:r>
    </w:p>
    <w:p>
      <w:r>
        <w:rPr>
          <w:b/>
        </w:rPr>
        <w:t xml:space="preserve">Quelle: </w:t>
      </w:r>
      <w:r>
        <w:t>https://mcp.opencaselaw.ch/entscheid/ge_gerichte_A_852_2022</w:t>
      </w:r>
    </w:p>
    <w:p>
      <w:r>
        <w:t>FR: GE_GERICHTE A/852/2022 du 27 avril 2022</w:t>
      </w:r>
    </w:p>
    <w:p>
      <w:r>
        <w:t>IT: GE_GERICHTE A/852/2022 del 27 aprile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fond du litige étant tranché, la demande de mesures provisionnelles a perdu son objet.![endif]&gt;![if&gt;</w:t>
      </w:r>
    </w:p>
    <w:p>
      <w:r>
        <w:rPr>
          <w:b/>
        </w:rPr>
        <w:t>E. 5</w:t>
      </w:r>
    </w:p>
    <w:p>
      <w:r>
        <w:t>Infondé, le recours sera rejeté.![endif]&gt;![if&gt; La procédure est gratuite (art. 61 let. fbis a contrario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