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A/852/2020 vom 29. Oktober 2020</w:t>
      </w:r>
    </w:p>
    <w:p>
      <w:r>
        <w:t>GE Cour de justice, 2020-10-29, FR</w:t>
      </w:r>
    </w:p>
    <w:p>
      <w:r>
        <w:rPr>
          <w:b/>
        </w:rPr>
        <w:t xml:space="preserve">Quelle: </w:t>
      </w:r>
      <w:r>
        <w:t>https://mcp.opencaselaw.ch/entscheid/ge_gerichte_A_852_2020</w:t>
      </w:r>
    </w:p>
    <w:p>
      <w:r>
        <w:t>FR: GE_GERICHTE A/852/2020 du 29 octobre 2020</w:t>
      </w:r>
    </w:p>
    <w:p>
      <w:r>
        <w:t>IT: GE_GERICHTE A/852/2020 del 29 ottobre 2020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29.10.2020 A/852/2020</w:t>
      </w:r>
    </w:p>
    <w:p>
      <w:r>
        <w:t>A/852/2020 ATAS/1021/2020 du 29.10.2020 ( PC ) , RETIRE rÉpublique et canton de genÈve POUVOIR JUDICIAIRE A/852/2020 ATAS/1021/2020 COUR DE JUSTICE Chambre des assurances sociales Arrêt du 29 octobre 2020 3 ème Chambre En la cause Monsieur A______, domicilié à GENÈVE, comparant avec élection de domicile en l'étude de Maître Monique STOLLER FÜLLEMANN recourant contre SERVICE DES PRESTATIONS COMPLÉMENTAIRES, DCS - SPC, sis route de Chêne 54, GENÈVE intimé Vu la décision sur oppositions du 6 février 2020 du Service des prestations complémentaires (ci-après : SPC) recalculant le droit aux prestations de Monsieur A______ (ci-après : l'assuré) pour la période du 1 er mai 2018 au 29 février 2020 ; Vu le recours interjeté par l'intéressé le 31 mars 2020 ; Vu la réponse de l'intimé du 9 avril 2020 ; Attendu que, par courrier du 14 octobre 2020, le recours a été retiré ; Qu'il convient d'en prendre acte et de rayer la cause du rôle. PAR CES MOTIFS, LA CHAMBRE DES ASSURANCES SOCIALES : 1.        Prend acte du retrait du recours. 2.        Raye la cause du rôle. La greffière Marie-Catherine SÉCHAUD La Présidente Karine STECK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