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A/850/2024 vom 2. Dezember 2024</w:t>
      </w:r>
    </w:p>
    <w:p>
      <w:r>
        <w:t>GE Cour de justice, 2024-12-02, FR</w:t>
      </w:r>
    </w:p>
    <w:p>
      <w:r>
        <w:rPr>
          <w:b/>
        </w:rPr>
        <w:t xml:space="preserve">Quelle: </w:t>
      </w:r>
      <w:r>
        <w:t>https://mcp.opencaselaw.ch/entscheid/ge_gerichte_A_850_2024</w:t>
      </w:r>
    </w:p>
    <w:p>
      <w:r>
        <w:t>FR: GE_GERICHTE A/850/2024 du 2 décembre 2024</w:t>
      </w:r>
    </w:p>
    <w:p>
      <w:r>
        <w:t>IT: GE_GERICHTE A/850/2024 del 2 dicembre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LPGA).</w:t>
      </w:r>
    </w:p>
    <w:p>
      <w:r>
        <w:rPr>
          <w:b/>
        </w:rPr>
        <w:t>E. 2</w:t>
      </w:r>
    </w:p>
    <w:p>
      <w:r>
        <w:t>Le litige porte sur le droit du recourant à une rente d’invalidité, singulièrement sur l’évaluation de sa capacité de travail.</w:t>
      </w:r>
    </w:p>
    <w:p>
      <w:r>
        <w:rPr>
          <w:b/>
        </w:rPr>
        <w:t>E. 3.1</w:t>
      </w:r>
    </w:p>
    <w:p>
      <w:r>
        <w:t>Le 1 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(arrêt du Tribunal fédéral 9C_60/2023 du 20 juillet 2023 consid. 2.2. et les références). En l’occurrence, un éventuel droit à une rente d’invalidité naîtrait au plus tôt en 2023, soit six mois après le dépôt de la demande du 14 juillet 2022 (art. 29 al. 1 LAI), de sorte que les dispositions légales applicables seront citées dans leur nouvelle teneur.</w:t>
      </w:r>
    </w:p>
    <w:p>
      <w:r>
        <w:rPr>
          <w:b/>
        </w:rPr>
        <w:t>E. 3.2</w:t>
      </w:r>
    </w:p>
    <w:p>
      <w:r>
        <w:t>Est réputée invalidité l’incapacité de gain totale ou partielle qui est présumée permanente ou de longue durée (art. 8 al. 1 LPGA).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3.3</w:t>
      </w:r>
    </w:p>
    <w:p>
      <w:r>
        <w:t>A droit à une rente d’invalidité, l’assuré dont la capacité de gain ou la capacité d’accomplir ses travaux habituels ne peut pas être rétablie, maintenue ou améliorée par des mesures de réadaptation raisonnablement exigibles, qui a présenté une incapacité de travail (art. 6 LPGA) d’au moins 40% en moyenne durant une année sans interruption notable et qui, au terme de cette année, est invalide (art. 8 LPGA) à 40% au moins (art. 28 al. 1 LAI).</w:t>
      </w:r>
    </w:p>
    <w:p>
      <w:r>
        <w:rPr>
          <w:b/>
        </w:rPr>
        <w:t>E. 3.4.1</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w:t>
      </w:r>
    </w:p>
    <w:p>
      <w:r>
        <w:rPr>
          <w:b/>
        </w:rPr>
        <w:t>E. 3.4.2</w:t>
      </w:r>
    </w:p>
    <w:p>
      <w:r>
        <w:t>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w:t>
      </w:r>
    </w:p>
    <w:p>
      <w:r>
        <w:rPr>
          <w:b/>
        </w:rPr>
        <w:t>E. 3.4.3</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w:t>
      </w:r>
    </w:p>
    <w:p>
      <w:r>
        <w:rPr>
          <w:b/>
        </w:rPr>
        <w:t>E. 3.4.4</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 Les limitations dues à l’atteinte à la santé au sens étroit, à savoir les restrictions à l’exercice d’une activité lucrative au sens de l’art. 8 LPGA de nature quantitative et qualitative, dues à l’invalidité et médicalement établies, doivent systématiquement être prises en compte pour l’appréciation de la capacité fonctionnelle. Il s’agit là de l’estimation du temps de présence médicalement justifié d’une part (capacités fonctionnelles quantitatives, par ex. en nombre d’heures par jour) et des capacités fonctionnelles qualitatives durant ce temps de présence d’autre part (limitation de la charge de travail, limitations qualitatives, travail plus lent par rapport à une personne en bonne santé, etc.). En règle générale, ces deux composantes sont ensuite combinées pour obtenir une appréciation globale en pourcentage de la capacité de travail, autrement dit des capacités fonctionnelles. Ainsi, par exemple, une productivité réduite pendant le temps de présence exigible ou un besoin de pauses plus fréquentes doivent être systématiquement déduits lors de l’indication de la capacité fonctionnelle résiduelle. Cela permet également de tenir compte de la jurisprudence du Tribunal fédéral, selon laquelle la capacité de travail attestée par un médecin donne des indications sur l’effort pouvant être effectivement exigé, mais pas sur la présence éventuelle sur le lieu de travail. Dans certaines circonstances, il peut être nécessaire de demander des renseignements auprès du médecin traitant afin que le SMR puisse établir une évaluation globale et compréhensible de la capacité fonctionnelle résiduelle, qui tienne compte de tous les facteurs médicaux influents [OFAS, Dispositions d’exécution relatives à la modification de la loi fédérale sur l’assurance-invalidité (Développement continu de l’AI), rapport explicatif (après la procédure de consultation) du 3 novembre 2021 (ci-après : rapport explicatif), ad art. 49 al. 1 bis , p. 60].</w:t>
      </w:r>
    </w:p>
    <w:p>
      <w:r>
        <w:rPr>
          <w:b/>
        </w:rPr>
        <w:t>E. 3.4.5</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3.4.6</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distincte. Il n'en va différemment que si ces médecins traitants font état d'éléments objectivement vérifiables ayant été ignorés dans le cadre de l'expertise et qui sont suffisamment pertinents pour remettre en cause les conclusions de l'expert (arrêt du Tribunal fédéral 8C_458/2023 du 18 décembre 2023 consid. 3.2 et la référence).</w:t>
      </w:r>
    </w:p>
    <w:p>
      <w:r>
        <w:rPr>
          <w:b/>
        </w:rPr>
        <w:t>E. 3.5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 139 V 176 consid. 5.3 et les références).  Aussi n’existe-t-il pas, en droit des assurances sociales, un principe selon lequel l’administration ou le juge devrait statuer, dans le doute, en faveur de l’assuré (ATF 135 V 39 consid. 6.1 et la référence).</w:t>
      </w:r>
    </w:p>
    <w:p>
      <w:r>
        <w:rPr>
          <w:b/>
        </w:rPr>
        <w:t>E. 4</w:t>
      </w:r>
    </w:p>
    <w:p>
      <w:r>
        <w:t>En l’occurrence, l’intimé s’est fondé sur l’expertise rhumatologique du Dr D______ pour retenir une capacité de travail du recourant de 100% dans une activité adaptée aux limitations fonctionnelles dès le 1 er mars 2016. Fondé sur toutes les pièces du dossier, comprenant la description des plaintes du recourant, une anamnèse complète, un status rhumatologique, posant des diagnostics et limitations fonctionnelles clairs et proposant une évaluation motivée et convaincante de la capacité de travail du recourant, le rapport d’expertise du Dr D______ répond aux réquisits jurisprudentiels précités pour qu’il lui soit reconnu une pleine valeur probante. Le recourant conteste l’appréciation du Dr D______ et fait valoir l’avis de la Dre G______ du 8 août 2024, laquelle estime que les affections aux épaules du recourant justifient une capacité de travail réduite à un taux de 50%. Il a également joint deux rapports d’échographie de ses épaules, des 11 juin et 23 juillet 2024.</w:t>
      </w:r>
    </w:p>
    <w:p>
      <w:r>
        <w:rPr>
          <w:b/>
        </w:rPr>
        <w:t>E. 4.1</w:t>
      </w:r>
    </w:p>
    <w:p>
      <w:r>
        <w:t>Les deux rapports d’échographie précités objectivent les diagnostics posés par la Dre G______ d’omalgies de l’épaule gauche sous tendinopathie calcifiante de la coiffe des rotateurs avec discrètes fissurations non transfixiantes du supra-épineux et petite bursite sous-acromio-deltoïdienne, d’omalgies de l’épaule droite sous tendinopathie de la coiffe des rotateurs avec fissuration du tendon supra-épineux non transfixiantes associées de bursite sous acromio-deltoïdienne modérée. Contrairement à l’avis du SMR du 16 septembre 2024, l’expert rhumatologue n’a pas pris en compte ces atteintes articulaires, dès lors que, selon le dossier radiologique en sa possession, l’échographie de l’épaule gauche du 25 mars 2023 qui y figure conclut à l’absence d’anomalie échographique décelable au niveau de l’épaule gauche, en particulier pas de nette bursite, ni de fissuration tendineuse (expertise rhumatologique p. 17). Le syndrome d’impingement des deux épaules retenu par l’expert ne tient ainsi pas compte des conclusions des deux échographies précitées ni de celles de la Dre G______, lesquelles témoignent d’une aggravation de l’état de santé du recourant. Certes, ces imageries sont postérieures à la décision litigieuse du 7 février 2024 et ne peuvent, en principe, être prises en compte dans le cadre de la présente procédure, dès lors que, de jurisprudence constante, le juge apprécie en règle générale la légalité des décisions entreprises d'après l'état de fait existant au moment où la décision litigieuse a été rendue (ATF 144 V 21 ) et les faits survenant postérieurement, et qui ont modifié cette situation, doivent en principe faire l'objet d'une nouvelle décision administrative (ATF 144 V 210 consid. 4.3.1). Cependant, compte tenu des développements ci-après concernant l’aspect psychiatrique, il incombera à l’intimé d’instruire plus avant cet aspect, par l’ordonnance d’un complément d’expertise auprès du Dr D______, voire d’une nouvelle expertise rhumatologique.</w:t>
      </w:r>
    </w:p>
    <w:p>
      <w:r>
        <w:rPr>
          <w:b/>
        </w:rPr>
        <w:t>E. 4.2</w:t>
      </w:r>
    </w:p>
    <w:p>
      <w:r>
        <w:t>L’intimé estime qu’en l’absence d’un diagnostic émanant d’un expert psychiatre, une expertise psychiatrique n’est pas nécessaire, le SMR ayant précisé que le dossier ne comprenait aucune référence à une quelconque atteinte psychiatrique durablement incapacitante. Le recourant fait valoir l’avis de sa médecin traitante, la Dre G______, laquelle a indiqué, le 8 août 2024, que le recourant présentait des troubles psychosomatiques avec un état dépressif sévère, justifiant l’ordonnance d’une expertise psychiatrique. Contrairement à l’avis de l’intimé, la nécessité d’une investigation psychiatrique n’a pas seulement été mentionnée par la médecin traitante du recourant, comme souligné par celui-ci, mais également par l’expert rhumatologue mandaté par l’intimé. En effet, celui-ci a indiqué que la persistance d’une intensité des douleurs élevée malgré les traitements effectués et malgré la possibilité de mener une vie active dans le quotidien parle en faveur d’un trouble de la perception et de l’élaboration de la douleur, qui pourrait se manifester chez l’assuré dans le contexte de problèmes psychosociaux (perte du travail depuis plusieurs années, vie dans une chambre d’hôtel depuis avril 2022, une partenaire et deux enfants de 4 et 6 ans vivant loin au Liban, perte de contacts sociaux en Suisse, perte d’une activité indépendante pour des raisons bureaucratiques, etc.) ; tous ces éléments pourraient influencer tant la perception que l’élaboration de la douleur, raison pour laquelle une éventuelle comorbidité psychique devrait être éclaircie (expertise rhumatologique p. 20). Le caractère réfractaire des douleurs alléguées pourrait aussi s’expliquer par l’éventuelle présence d’une comorbidité psychiatrique, par exemple une dépression, qui n’a jamais été abordée et devrait être éclaircie (expertise rhumatologique p. 24). Il a conclu dans les « réponses aux questions du mandat », que l’éventuelle présence d’une comorbidité psychiatrique, par exemple une dépression, qui n’avait jamais été abordée devait être éclaircie (expertise rhumatologique p. 27). Compte tenu des avis tant de la médecin traitante du recourant que de l’expert rhumatologue, il convient d’admettre qu’il existe des indices suffisants permettant de penser que le recourant est atteint dans sa santé psychique et justifiant, en conséquence, que l’aspect psychiatrique soit investigué. Or, en l’absence de toute mesure d’instruction de cet aspect de la part de l’intimé, il convient de lui renvoyer la cause afin de procéder à une évaluation psychiatrique du recourant.</w:t>
      </w:r>
    </w:p>
    <w:p>
      <w:r>
        <w:rPr>
          <w:b/>
        </w:rPr>
        <w:t>E. 4.3</w:t>
      </w:r>
    </w:p>
    <w:p>
      <w:r>
        <w:t>La décision litigieuse devant, pour ce motif, être annulée et une nouvelle décision rendue après instruction médicale complémentaire, il incombera également à l’intimé d’instruire l’aggravation possible de l’état de santé rhumatologique du recourant, dans le sens susmentionné.</w:t>
      </w:r>
    </w:p>
    <w:p>
      <w:r>
        <w:rPr>
          <w:b/>
        </w:rPr>
        <w:t>E. 5</w:t>
      </w:r>
    </w:p>
    <w:p>
      <w:r>
        <w:t>Au vu de ce qui précède, le recours sera partiellement admis, la décision litigieuse annulée et la cause sera renvoyée à l’intimé pour instruction complémentaire et nouvelle décision, dans le sens des considérants. Le recourant, qui n’est pas représenté en justice et qui n’a pas allégué avoir déployé des efforts dépassant la mesure de ce que tout un chacun consacre à la gestion courante de ses affaires, n’a pas droit à des dépens (art. 61 let. g LPGA ; art. 6 du règlement sur les frais, émoluments et indemnités en matière administrative du 30 juillet 1986 [RFPA - E 5 10.03]). Au vu du sort du recours, il y a lieu de condamner l’intimé au paiement d'un émolument de CHF 200.- (art. 69 al. 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