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A/84/2019 vom 3. September 2019</w:t>
      </w:r>
    </w:p>
    <w:p>
      <w:r>
        <w:t>GE Cour de justice, 2019-09-03, FR</w:t>
      </w:r>
    </w:p>
    <w:p>
      <w:r>
        <w:rPr>
          <w:b/>
        </w:rPr>
        <w:t xml:space="preserve">Quelle: </w:t>
      </w:r>
      <w:r>
        <w:t>https://mcp.opencaselaw.ch/entscheid/ge_gerichte_A_84_2019</w:t>
      </w:r>
    </w:p>
    <w:p>
      <w:r>
        <w:t>FR: GE_GERICHTE A/84/2019 du 3 septembre 2019</w:t>
      </w:r>
    </w:p>
    <w:p>
      <w:r>
        <w:t>IT: GE_GERICHTE A/84/2019 del 3 settembre 2019</w:t>
      </w:r>
    </w:p>
    <w:p>
      <w:pPr>
        <w:pStyle w:val="Heading2"/>
      </w:pPr>
      <w:r>
        <w:t>Erwägungen</w:t>
      </w:r>
    </w:p>
    <w:p>
      <w:r>
        <w:rPr>
          <w:b/>
        </w:rPr>
        <w:t>E. 1</w:t>
      </w:r>
    </w:p>
    <w:p>
      <w:r>
        <w:t>ère section dans la cause Monsieur A______ contre PRISON DE CHAMP-DOLLON EN FAIT 1) Monsieur A______ est détenu, en exécution d'une mesure thérapeutique institutionnelle (art. 59 du Code pénal suisse du 21 décembre 1937 - CP - RS 311.0) à la prison de Champ-Dollon depuis le 14 septembre 2018. 2) Le 26 septembre 2018, l'intéressé a écrit à la direction de la prison. Il était disposé à donner des informations sur les activités illicites d'autres détenus pour autant qu'on lui donne l'autorisation de disposer en cellule d'un certain nombre d'objets, notamment d'un de ses ordinateurs. 3) Le lendemain, l'intéressé a été informé oralement du fait qu'il recevrait un certain nombre d'objets, autorisés, dans sa cellule. S'agissant de l'ordinateur, une demande écrite devait être faite au service de probation et d'insertion (ci-après : SPI) pour en obtenir un, en location, dans le cadre d'une formation. 4) Au cours du mois d'octobre 2018, l'intéressé a déposé une telle demande au SPI, son objectif étant de finir le contrôle de son quatrième livre et de commencer le cinquième. Le SPI lui a répondu, le 23 octobre 2018, qu'un ordinateur pouvait être mis à disposition pour accéder à une formation, mais non pour réaliser un livre. Il était invité à développer plus précisément son projet. 5) Le 29 octobre 2019, l'intéressé a demandé à obtenir sa « Playstation », ce qui lui a été refusé le jour-même. 6) Par acte daté du 27 décembre 2018, mis à la poste le 4 janvier 2019 et reçu par la chambre administrative de la Cour de justice (ci-après : la chambre administrative) le 10 janvier 2019, M. A______ a exposé qu'on lui avait indiqué qu'il n'avait pas droit d'avoir un ordinateur privé. Malgré les formulaires qu'il avait remplis, on ne l'avait pas autorisé à aller à l'école ou à pouvoir disposer d'un ordinateur pour l'école. Il avait déjà écrit quatre livres depuis qu'il était incarcéré, dont deux n'avaient été ni imprimés ni sauvegardés en raison de transferts d'établissement soudains. 7) Le 11 février 2019, la direction de la prison a conclu principalement à l'irrecevabilité du recours, subsidiairement à son rejet. Aucune décision susceptible de recours n'avait été rendue. Les éventuelles locations d'ordinateurs dépendaient du SPI, ce qui avait été indiqué à l'intéressé. Ce service disposait seulement de vingt ordinateurs pour la prison. La location d'un ordinateur était un acte matériel non soumis à recours. Le fait de ne pas mettre à disposition cet appareil respectait les dispositions du CP, dès lors que l'écriture d'un livre ne constituait ni une formation de base, ni une formation continue, ni des études, ni une formation professionnelle. 8) Exerçant son droit à la réplique le 24 février 2019 par un courrier comportant des allégations injurieuses à l'encontre du directeur, le recourant a maintenu sa demande initiale. 9) Sur quoi, la cause a été gardée à juger, ce dont les parties ont été informées le 28 février 2019. EN DROIT 1) La chambre administrative examine d'office sa compétence, qui est déterminée par la loi et ne peut être créée par accord entre les parties (art. 11 al. 1 et 2 de la loi sur la procédure administrative du 12 septembre 1985 LPA - E 5 10 ; ATA/251/2019 du 12 mars 2019 consid. 4a). Elle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2) a. Le recours à la chambre administrative est ouvert contre les décisions des autorités et juridictions administratives au sens des art. 4, 4A, 5, 6 al. 1 let. a et e, et 57 LPA. Sont réservées les exceptions prévues par la loi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ATA/1053/2018 du 9 octobre 2018 consid. 1c ; ATA/509/2016 du 14 juin 2016 consid. 4c). c. En droit genevois, la notion de décision est calquée sur le droit fédéral (art. 5 de la loi fédérale sur la procédure administrative du 20 décembre 1968 - PA - RS 172.021), ce qui est également valable pour les cas limites, soit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 consid. 4.1.2 ; ATA/1502/2017 du 21 novembre 2017). En outre, ce n'est pas la forme de l'acte qui est déterminante, mais son contenu et ses effets ( ATA/657/2018 du 26 juin 2018 consid. 3b ; ATA/180/2018 du 27 février 2018 et les références citées). d. Un acte matériel est défini comme un acte qui n'a pas pour objet de produire un effet juridique, même s'il peut en pratique en produire, notamment s'il met en jeu la responsabilité de l'État ( ATA/354/2017 du 28 mars 2017 consid. 3a ; ATA/549/2016 du 28 juin 2016 consid. 2d ; Pierre MOOR/Alexandre FLÜCKIGER/Vincent MARTENET, Droit administratif, vol. 1, 3ème éd. 2012, p. 12 s ; Thierry TANQUEREL, Manuel de droit administratif, 2011, n. 52 ; également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ATA/549/2016 précité consid. 2d ; Thierry TANQUEREL, op. cit., n. 666). e. Aux termes de l'art. 4A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 al. 1) ; l'autorité statue par décision (al. 2). Ces deux alinéas correspondent aux al. 1 et 2 de l'art. 25a PA - qui a été introduit par le législateur pour garantir l'accès au juge prévu par l'art. 29a de la Constitution fédérale de la Confédération suisse du 18 avril 1999 (Cst. - RS 101), sauf le fondement sur le droit cantonal ou communal ( ATA/114/2019 du 5 février 2019 consid. 2d ; ATA/76/2017 du 31 janvier 2017 consid. 3d). 3) En l'espèce, le refus d'accorder à l'intéressé le droit de disposer de son propre ordinateur, de sa « PlayStation » et de lui louer un ordinateur ne constituent pas des décisions, mais des mesures d'organisation interne à la prison, liées au statut même de détenus, soit des personnes privées de certaines libertés et ayant un rapport de droit spécial avec l'État et son administration. 4) Le recours sera dès lors déclaré irrecevable. 5) Vu la nature du litige, il ne sera pas perçu d'émolument (art. 87 al. 1 LPA et 12 al. 1 du règlement sur les frais, émoluments et indemnités en procédure administrative du 30 juillet 1986 - RFPA - E 5 10.03), et vu son issue, il ne sera pas alloué d'indemnité de procédure (art. 87 al. 2 LPA). L'attention du recourant est attirée sur le fait que, s'il devait à nouveau adresser à la chambre administrative des écrits contenant des propos insultants, ces documents lui seraient retournés sans qu'aucune suite ne leur soit donnée.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