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A/849/2017 vom 30. November 2017</w:t>
      </w:r>
    </w:p>
    <w:p>
      <w:r>
        <w:t>GE Cour de justice, 2017-11-30, FR</w:t>
      </w:r>
    </w:p>
    <w:p>
      <w:r>
        <w:rPr>
          <w:b/>
        </w:rPr>
        <w:t xml:space="preserve">Quelle: </w:t>
      </w:r>
      <w:r>
        <w:t>https://mcp.opencaselaw.ch/entscheid/ge_gerichte_A_849_2017</w:t>
      </w:r>
    </w:p>
    <w:p>
      <w:r>
        <w:t>FR: GE_GERICHTE A/849/2017 du 30 novembre 2017</w:t>
      </w:r>
    </w:p>
    <w:p>
      <w:r>
        <w:t>IT: GE_GERICHTE A/849/2017 del 30 novembre 2017</w:t>
      </w:r>
    </w:p>
    <w:p>
      <w:pPr>
        <w:pStyle w:val="Heading2"/>
      </w:pPr>
      <w:r>
        <w:t>Erwägungen</w:t>
      </w:r>
    </w:p>
    <w:p>
      <w:r>
        <w:rPr>
          <w:b/>
        </w:rPr>
        <w:t>E. 3</w:t>
      </w:r>
    </w:p>
    <w:p>
      <w:r>
        <w:t>ème Chambre En la cause CONCORDIA ASSURANCES SA, Service juridique, Bundesplatz 15, LUZERN demanderesse contre Madame A______, domiciliée à GENÈVE défenderesse EN FAIT 1.        Madame A______ (ci-après : l’intéressée) a conclu pour sa fille, B______, née en 2013, une assurance d’hospitalisation semi-privée auprès de CONCORDIA ASSURANCES SA (ci-après : l’assurance ; cf. police d’assurance du 7 janvier 2015).![endif]&gt;![if&gt; 2.        Du 4 au 7 février 2015, l’enfant a été hospitalisé à la Clinique pédiatrique de l’Hôpital universitaire de Zürich (ci-après : l’hôpital des enfants), lequel a émis, en date du 27 février 2015, une facture de CHF 4'650.30 en tiers payant, conformément à une convention passée avec certaines assurances - dont CONCORDIA ASSURANCE SUISSE DE MALADIE ET ACCIDENTS SA – reprise depuis lors par CONCORDIA ASSURANCES SA – le 2 juin 2010 (art. 7).![endif]&gt;![if&gt; 3.        Le 13 août 2015, l’assurance a viré le montant réclamé, non pas au fournisseur de soins, mais à la mère de l’enfant après avoir adressé à celle-ci, le 11 août 2015, un décompte de prestations (n° ______) dont il ressortait que la somme versée concernait la facture du « Kinderspital Zürich Universistäts-Kinderklinik » « payée par [ses] soins » (pce 7). ![endif]&gt;![if&gt; 4.        À réception d’un rappel de la part de l’hôpital des enfants, l’assurance s’est acquittée de ses obligations envers le fournisseur de soins (cf. récépissé du virement au prestataire de soins du 24 septembre 2015 ; pce 10) et a réclamé la restitution du montant versé à l’intéressée par courrier du 22 septembre 2015. Elle lui expliquait avoir versé ce montant « par méprise » (pce 9). ![endif]&gt;![if&gt; 5.        Sans nouvelles de sa part, l’assureur lui a adressé un rappel en date du 21 novembre 2015 (pce 11), suivi d’une sommation, le 26 décembre 2015 (pce 12).![endif]&gt;![if&gt; 6.        Le 16 mars 2016, l’assurance a requis des poursuites à l’encontre de l’intéressée, à hauteur de CHF 4'650.30, à titre de « versement erroné décompte du 22.09.2015 » et de CHF 100.- de frais administratifs (pce 13). ![endif]&gt;![if&gt; 7.        Un commandement de payer (2______) a été notifié à l’intéressée à son domicile (C______) le 27 avril 2016 par l’Office des poursuites de Zürich. Les frais se sont élevés à CHF 78.50. Il y a été fait opposition le jour même.![endif]&gt;![if&gt; 8.        Le 10 mars 2017, l’assurance a saisi la Cour de céans d’une « action en reconnaissance de dette » à l’encontre de l’intéressée, dont elle demande qu’elle soit condamnée à lui restituer la somme de CHF 4'828.60, avec intérêts à 5% à compter du 2 novembre 2015 pour le montant de CHF 4'650.30 (versé à tort) et à compter du 17 mai 2016 pour le montant de CHF 178.30 (frais d’administration et de poursuite). ![endif]&gt;![if&gt; 9.        Invitée à se déterminer, la défenderesse n’a pas réagi dans le délai au 10 avril 2017 qui lui avait été imparti par la Cour de céans par courrier du 13 mars 2017.![endif]&gt;![if&gt; 10.    Dûment convoquée par pli recommandé du 19 avril 2017 pour une audience le 8 juin 2017, la défenderesse ne s’est ni présentée, ni excusée. ![endif]&gt;![if&gt; 11.    Les investigations de la Cour de céans l’ont amenée à constater que l’intéressée ne figurait pas au registre officiel de l’Office cantonal de la population et des migrations (OCPM), si bien qu’elle a interpellé l’assurance sur ce point. ![endif]&gt;![if&gt; 12.    Celle-ci, en date du 26 juin 2017, a produit : ![endif]&gt;![if&gt; - une attestation de résidence de l’intéressée à Genève, émise par l’OCPM le 23 juin 2017 ; - un courrier du Service de l’assurance-maladie (SAM) confirmant son affiliation à Genève à compter du 1 er février 2017 ; - la confirmation de son départ de Zurich émise par cette ville, au 13 novembre 2016. Selon les informations recueillies par l’assurance auprès de l’OCPM, l’inscription de l’intéressée avait été différée dans l’attente de documents complémentaires.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conclue entre les parties, le contrat est régi par la LCA. La compétence de la Chambre de céans à raison de la matière pour juger du cas d’espèce est ainsi établie, le litige pourtant sur la restitution d’un montant versé dans le cadre de l’assurance complémentaire.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l’espèce, la défenderesse ayant son domicile à Genève, la Cour de céans est également compétente à raison du lieu pour connaître de la demande.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6.        Le litige porte sur le droit de la demanderesse - assurance complémentaire à l’assurance-maladie sociale - à obtenir de la défenderesse - représentante légale d’une mineure assurée auprès de la demanderesse - le remboursement du montant versé pour s’acquitter de la facture relative au séjour de l’enfant à l’hôpital de Zürich. ![endif]&gt;![if&gt; 7.        Selon l’art. 35 des conditions générales d’assurance relatives aux assurances complémentaires des soins (CGA), le débiteur des fournisseurs de prestations est par principe l’assuré. Le preneur d’assurance, respectivement l’assuré, accepte cependant que l’assureur et les fournisseurs de prestations concluent des accords prévoyant le paiement direct aux fournisseurs de prestations.![endif]&gt;![if&gt; C’est précisément ce qu’a fait la demanderesse avec l’Hôpital des enfants de Zürich : elle s’est engagée par convention, sur présentation des factures émises par cet établissement, à s’acquitter directement auprès de celui-ci du montant dû. C’est donc bien à tort que la demanderesse a versé la somme de CHF 4'650.30 à la défenderesse le 13 août 2015. Il ressort d’ailleurs des documents produits que le montant dû à l’hôpital des enfants a bien été versé à ce dernier par la demanderesse par la suite. La demanderesse s’est donc acquittée deux fois du montant en question. 8.        Conformément à l’art. 62 de la loi fédérale du 30 mars 1911 complétant le Code civil suisse (CO, Code des obligations - RS 220), celui qui, sans cause légitime, s’est enrichi aux dépens d’autrui est tenu à restitution. Il n’y a pas lieu à restitution, dans la mesure où celui qui a reçu indument établit qu’il n’est plus enrichi lors de la répétition, à moins cependant qu’il ne se soit dessaisi de mauvaise foi de ce qu’il a reçu et qu’il n’ait dû savoir, en se dessaisissant, qu’il pouvait être tenu à restituer. N’est pas de bonne foi celui qui devait compter sur la demande de restitution car il aurait dû savoir, au moment du paiement et en prêtant l’attention commandée par les circonstances, que le paiement n’était pas justifié (ATF 4a_60072014 du 6 mai 2015).![endif]&gt;![if&gt; S'agissant d'une action pour enrichissement illégitime fondée sur les art. 62 al. 1 et 63 al. 1 CO, la qualité pour agir appartient à celui qui, notamment, a payé en vertu d'une cause qui ne s'est pas réalisée (art. 62 al. 2 CO). 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 62 al. 2 CO pour le droit privé. Cette règle vaut aussi dans le cadre du droit public (ATF 135 II 274 consid. 3.1 p. 276 ; PIERRE MOOR/ETIENNE POLTIER, Droit administratif, vol. II, 3ème éd., 2011, n. 1.5.3 p. 168; HÄFELIN/MÜLLER/UHLMANN, Allgemeines Verwaltungsrecht, 6ème éd. 2010, ch. 760 ss p. 176). Selon la jurisprudence, l'obligation de restituer l'indu se fonde en premier lieu sur les dispositions des lois spéciales qui la prévoient et, à défaut, sur les règles générales de l'enrichissement illégitime au sens des art. 62 à 67 CO (ATF 128 V 50 consid. 2 p. 51 et l'arrêt cité).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130 V 414 consid. 3.2 p. 418). En l’espèce, il est manifeste qu’à réception du montant litigieux, la défenderesse s’est enrichie sans cause légitime aux dépens de la demanderesse. Elle ne saurait se libérer de l’obligation de restituer car elle savait, ou à tout le moins aurait dû savoir, à la lecture du décompte de prestations envoyé par la demanderesse, que cet argent était destiné à régler la facture de l’Hôpital des enfants de Zürich, dont elle savait pertinemment qu’elle ne l’avait pas réglée. La défenderesse ne saurait donc se prévaloir de sa bonne foi pour refuser de rembourser à la demanderesse le montant de CHF 4'650.30. Quant au paiement de CHF 100.- de frais d’administration, il est légitimement fondé sur l’art. 41 CO, dont le premier alinéa prévoit que celui qui cause, d'une manière illicite, un dommage à autrui, soit intentionnellement, soit par négligence ou imprudence, est tenu de le réparer. Enfin, la réclamation des frais de poursuites (CHF 78.50) est basée sur l’art. 68 al. 1 de la loi fédérale sur la poursuite pour dettes et la faillite du 11 avril 1889 (LP - RS 281.1). C’est donc une somme totale de CHF 4'828.60 que la demanderesse est légitimée à réclamer à la défenderesse. 9.        La LCA ne contient pas de dispositions sur la demeure, laquelle est dès lors régie, en vertu de l'art. 100 al. 1 LCA, par les art. 102ss CO. ![endif]&gt;![if&gt; Selon l’art. 102 CO, le débiteur d'une obligation est en demeure par l'interpellation du créancier (al. 1) ; lorsque le jour de l'exécution a été déterminé d'un commun accord, ou fixé par l'une des parties en vertu d'un droit à elle réservé et au moyen d'un avertissement régulier, le débiteur est mis en demeure par la seule expiration de ce jour (al. 2).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 THEVENOZ, in Commentaire romand du Code des obligations I, n. 9 ad art. 104 CO). En l’espèce, le contrat d'assurance ne fixe pas un terme comminatoire pour l'exécution des obligations contractuelles (NEF, Commentaire bâlois, Bundesgesetz über den Versicherungsvertrag, 2001, n. 20-21 ad art. 41 LCA), ni ne réserve le droit de le fixer à l'une des parties (art. 102 al. 2 CO). Dès lors, la défenderesse ne doit des intérêts moratoires à la demanderesse qu'à partir du moment où elle a été interpellée par celle-ci (art. 102 al. 1 CO), soit le 22 septembre 2015. 10.    Conformément à l’art. 67 CO, l’action pour cause d’enrichissement illégitime se prescrit par un an à compter du jour où la partie lésée a eu connaissance de son droit de répétition et, dans tous les cas, par dix ans dès la naissance de ce droit. ![endif]&gt;![if&gt; Conformément à l’art. 135 al. 2 CO, la prescription est interrompue lorsque le créancier fait valoir ses droits par des poursuites. Un nouveau délai commence à courir dès l’interruption en vertu de l’art. 137 al. 1 CO. En l’espèce, le délai de prescription, qui a commencé à courir en septembre 2015, lorsque la demanderesse s’est rendu compte de son erreur - à réception du rappel de l’hôpital des enfants - a donc été interrompu par la réquisition des poursuites du 16 mars 2016, puis par l’action introduite par la demanderesse en date du 10 mars 2017. 11.    Reste à examiner ce qu’il advient de la poursuite intentée à Zurich, où résidait alors la défenderesse. ![endif]&gt;![if&gt; Selon l’art. 46 al. 1 LP, le for de la poursuite est au domicile du débiteur. L’art. 53 LP précise que si le débiteur change de domicile après l'avis de saisie, après la commination de faillite ou après la notification du commandement de payer pour effets de change, la poursuite se continue au même domicile. Dans le cas présent, on ne se trouve dans aucune de ces trois hypothèses. Le domicile a bel et bien changé, mais après notification d’un commandement de payer dans le cadre d’une poursuite ordinaire. Dans un arrêt 5A_757/2015 du 15 janvier 2016, le Tribunal fédéral a précisé (consid. 2.2.1), qu’a contrario, si les hypothèses évoquées par l’art. 53 LP ne sont pas réalisées, le for ordinaire de poursuite suit le débiteur à chaque nouveau domicile, de sorte que la poursuite requise à l'ancien domicile doit être continuée au nouveau domicile (ATF 136 III 373 consid. 2.1 ;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 80 III 99 consid. 1 ; arrêt 5A_542/2014 du 18 septembre 2014 consid. 4.1.2 ; cf également l’arrêt 5A_542.2016, consid. 4.1.2). En l'espèce, après avoir requis l’ouverture de poursuites à l’encontre de la défenderesse à Zürich, la demanderesse peut donc légitimement requérir la continuation de celles-ci à Genève, où l’intéressée a transféré son domicile depuis lors. 12.    Eu égard aux considérations qui précèdent, il y a lieu d’admettre la demande et de lever l’opposition au commandement de payer à due concurrence. ![endif]&gt;![if&gt; En revanche, il n’y a pas lieu d’allouer des dépens. En effet, même si l'art. 89H al. 3 de la loi sur la procédure administrative du 12 septembre 1985 (LPA) prévoit qu'une indemnité est allouée à celui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