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A/848/2024 vom 8. Oktober 2024</w:t>
      </w:r>
    </w:p>
    <w:p>
      <w:r>
        <w:t>GE Cour de justice, 2024-10-08, FR</w:t>
      </w:r>
    </w:p>
    <w:p>
      <w:r>
        <w:rPr>
          <w:b/>
        </w:rPr>
        <w:t xml:space="preserve">Quelle: </w:t>
      </w:r>
      <w:r>
        <w:t>https://mcp.opencaselaw.ch/entscheid/ge_gerichte_A_848_2024</w:t>
      </w:r>
    </w:p>
    <w:p>
      <w:r>
        <w:t>FR: GE_GERICHTE A/848/2024 du 8 octobre 2024</w:t>
      </w:r>
    </w:p>
    <w:p>
      <w:r>
        <w:t>IT: GE_GERICHTE A/848/2024 del 8 ottobre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Nr. 1______, conclue par l'employeur et la défenderesse, le contrat porte sur une assurance collective d'indemnités journalières et est régi par les conditions générales dans leur édition d'octobre 2018 (ci-après : CGA) et la LCA. La compétence de la chambre de céans à raison de la matière pour juger du cas d’espèce est ainsi établie.</w:t>
      </w:r>
    </w:p>
    <w:p>
      <w:r>
        <w:rPr>
          <w:b/>
        </w:rPr>
        <w:t>E. 1.1.1</w:t>
      </w:r>
    </w:p>
    <w:p>
      <w:r>
        <w:t>S'agissant de la compétence à raison du lieu, l'art. 31 CPC prévoit que le tribunal du domicile ou du siège du défendeur ou celui du lieu où la prestation caractéristique doit être exécutée est compétent pour statuer sur les actions découlant d'un contrat. Selon l'art. 17 CPC,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18 CPC prévoit que, sauf disposition contraire de la loi, le tribunal saisi est compétent lorsque le défendeur procède sans faire de réserve sur la compétence. Les fors de l'art. 31 CPC ne sont pas obligatoires et restent subsidiaires aux fors spéciaux, tels que ceux prévus aux art. 32 ss CPC. Il est également possible de s'écarter des fors de l'art. 31 CPC par accord (art. 17 CPC) ou par acception (art. 18 CPC – HÄBERLI/HUSMANN, Krankentaggeld, versicherungs- und arbeitsrechtliche Aspekte , 2015, n. 910, p. 270).</w:t>
      </w:r>
    </w:p>
    <w:p>
      <w:r>
        <w:rPr>
          <w:b/>
        </w:rPr>
        <w:t>E. 1.1.2</w:t>
      </w:r>
    </w:p>
    <w:p>
      <w:r>
        <w:t>L'art. 158 de l’ordonnance sur la surveillance des entreprises d’assurance privées du 9 novembre 2005 (Ordonnance sur la surveillance, OS - RS 961.011) prévoit que lorsqu'elles concluent un contrat collectif d'assurance-maladie d'indemnités journalières avec un employeur, les entreprises d'assurance sont tenues de prévoir un for au lieu de travail du travailleur, en sus du for spécial. Cette disposition n'a de sens que si les assurés non parties au contrat peuvent également se prévaloir de la clause de for correspondante (Christoph HÄBERLI/David HUSMANN, Krankentaggeld, versicherungs- und arbeitsrechtliche Aspekte , 2015, n 918 p. 272)</w:t>
      </w:r>
    </w:p>
    <w:p>
      <w:r>
        <w:rPr>
          <w:b/>
        </w:rPr>
        <w:t>E. 1.1.3</w:t>
      </w:r>
    </w:p>
    <w:p>
      <w:r>
        <w:t>En l'occurrence, l'art. A9.2 CGA dispose que les tribunaux suisses ordinaires sont compétents pour juger les litiges relevant du contrat d'assurance. On peut s'interroger sur le point de savoir si l'art. A9.2 CGA, lu conjointement avec l'art. 158 OS, crée un for alternatif pour la demanderesse, en sa qualité d'assurée, au siège de son lieu de travail, en sus du for ordinaire de l'art. 31 CPC. Cette question peut néanmoins rester indécise, dans la mesure où la défenderesse n'a pas soulevé l'incompétence de la chambre de céans à raison du lieu, acceptant ainsi tacitement le for à Genève. Par conséquent, la chambre de céans est compétente à raison du lieu pour connaître de la présente demande.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3</w:t>
      </w:r>
    </w:p>
    <w:p>
      <w:r>
        <w:t>Selon l'art. 244 al. 1 CPC, la demande peut être déposée dans les formes prescrites à l'art. 130 ou dictée au procès-verbal au tribunal. Elle contient la désignation des parties (let. a), les conclusions (let. b), la description de l'objet du litige (let. c), si nécessaire, l'indication de la valeur litigieuse (let. d), la date et la signature (let. d).</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w:t>
      </w:r>
    </w:p>
    <w:p>
      <w:r>
        <w:t>En vertu de l'art. 59 al. 1 CPC, le tribunal n'entre en matière que sur les demandes et les requêtes qui satisfont aux conditions de recevabilité de l'action. L'art. 60 CPC précise que le tribunal examine d'office si les conditions de recevabilité sont remplies.</w:t>
      </w:r>
    </w:p>
    <w:p>
      <w:r>
        <w:rPr>
          <w:b/>
        </w:rPr>
        <w:t>E. 6.1</w:t>
      </w:r>
    </w:p>
    <w:p>
      <w:r>
        <w:t>L'art. 84 al. 2 CPC prévoit que l'action tendant au paiement d'une somme d'argent doit être chiffrée. Il s'agit d'une condition de recevabilité, que le juge doit examiner d'office (arrêt du Tribunal fédéral 4A_235/2016 du 7 mars 2017 consid. 2.1). Si d'après les conclusions présentées, le Tribunal fédéral se trouvait requis de fixer lui-même le montant réclamé, le recours était irrecevable (ATF 134 III 325 consid 2 ; arrêt du Tribunal fédéral 4A_107/2008 du 5 juin 2008 consid. 2.2). Le chef de conclusion tendant à condamner la défenderesse à exécuter les prestations découlant du contrat d'assurance est en réalité une conclusion en paiement, dès lors qu'une exécution en nature n'est pas envisageable (arrêt du Tribunal fédéral 4A_618/2017 du 11 janvier 2018 consid. 4.1).</w:t>
      </w:r>
    </w:p>
    <w:p>
      <w:r>
        <w:rPr>
          <w:b/>
        </w:rPr>
        <w:t>E. 6.2</w:t>
      </w:r>
    </w:p>
    <w:p>
      <w:r>
        <w:t>L'art. 85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Il incombe toutefois au demandeur qui formule une conclusion en paiement non chiffrée de démontrer dans quelle mesure il n'est pas possible, ou du moins pas exigible d'indiquer d'entrée de cause le montant de sa prétention (ATF 140 III 409 consid. 4.3.1 et 4.3.2 ; arrêt du Tribunal fédéral 4A_618/2017 du 11 janvier 2018 consid. 4.2). Ni le devoir d'interpellation, ni la maxime inquisitoire sociale applicable à la procédure (art. 247 al. 2 let. a CPC en lien avec l'art. 243 al. 2 let. f CPC), selon laquelle le juge établit les faits d’office, ne s’opposent à ce qu’une demande soit déclarée irrecevable en raison d'une motivation insuffisante ou de conclusions mal formulées (arrêt du Tribunal fédéral 4A_618/2017 du 11 janvier 2018 consid. 4.3.1 et 4.3.2).</w:t>
      </w:r>
    </w:p>
    <w:p>
      <w:r>
        <w:rPr>
          <w:b/>
        </w:rPr>
        <w:t>E. 6.3</w:t>
      </w:r>
    </w:p>
    <w:p>
      <w:r>
        <w:t>Dans un arrêt du 27 juillet 2017, le Tribunal fédéral a considéré que les conclusions d’un assuré tendant à ce que l’assureur fut condamné à lui verser rétroactivement et de manière continue toutes les indemnités journalières (« rückwirkend ab [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autre arrêt,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Enfin, dans deux autres affaires relative à une 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w:t>
      </w:r>
    </w:p>
    <w:p>
      <w:r>
        <w:rPr>
          <w:b/>
        </w:rPr>
        <w:t>E. 7</w:t>
      </w:r>
    </w:p>
    <w:p>
      <w:r>
        <w:t>Au regard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Ce point de vue est aussi exprimé dans la doctrine (arrêt du Tribunal fédéral 4D_57/2013 du 2 décembre 2013 consid. 3.2 et les références).</w:t>
      </w:r>
    </w:p>
    <w:p>
      <w:r>
        <w:rPr>
          <w:b/>
        </w:rPr>
        <w:t>E. 8</w:t>
      </w:r>
    </w:p>
    <w:p>
      <w:r>
        <w:t>En vertu de l'art 132 CPC, le tribunal fixe un délai pour la rectification des vices de forme telle l’absence de signature ou de procuration. À défaut, l’acte n’est pas pris en considération (al. 1). L’al. 1 s’applique également aux actes illisibles, inconvenants, incompréhensibles ou prolixes (al. 2). Les actes abusifs ou introduits de manière procédurière sont renvoyés à l’expéditeur (al. 3). Cette disposition n'est pas applicable aux conclusions incomplètes prises dans un recours ou dans une demande (ATF 137 III 617 consid. 6.4) et en particulier aux conclusions non chiffrées figurant dans une demande (arrêt du Tribunal fédéral 4A_618/2017 du 11 janvier 2018 consid. 4.4).</w:t>
      </w:r>
    </w:p>
    <w:p>
      <w:r>
        <w:rPr>
          <w:b/>
        </w:rPr>
        <w:t>E. 9</w:t>
      </w:r>
    </w:p>
    <w:p>
      <w:r>
        <w:t>En l'espèce, la défenderesse invoque l'irrecevabilité de l'écriture de la demanderesse.</w:t>
      </w:r>
    </w:p>
    <w:p>
      <w:r>
        <w:rPr>
          <w:b/>
        </w:rPr>
        <w:t>E. 9.1</w:t>
      </w:r>
    </w:p>
    <w:p>
      <w:r>
        <w:t>Dans son acte déposé le 11 mars 2024 auprès de la chambre de céans, la demanderesse a indiqué former « recours contre la décision de non-paiement d'indemnités de maladie ». Or, dans le cadre d'un litige fondé sur la LCA, l'assuré doit saisir l'autorité judiciaire par voie d'une action en justice dans les deux ans à compter de la survenance du fait duquel naît l'obligation (art. 46 al. 3 LCA), et non par voie de recours. En effet, en matière d'assurance collective contre les accidents ou la maladie, l'art. 95a LCA (de nature impérative selon l'art. 98 LCA) confère un droit propre à l'assuré qu'il peut faire directement valoir contre l'assureur. Si l'acte déposé le 11 mars 2024 est certes qualifié improprement de « recours », l'on comprend toutefois à sa lecture que la demanderesse sollicite le paiement des indemnités journalières par la défenderesse. En effet, l'écriture comprend un (très) bref exposé des faits qui permet de cerner l'objet du litige. De plus, la demanderesse a joint à son écriture la lettre du 7 février 2024 annonçant la fin de la prise en charge des prestations par la défenderesse jusqu'au 8 février 2024, en indiquant qu'elle contestait cette prise de position. Il convient donc de considérer que la demanderesse a déposé par-devant la chambre de céans une demande en paiement, libellée à tort « recours ».</w:t>
      </w:r>
    </w:p>
    <w:p>
      <w:r>
        <w:rPr>
          <w:b/>
        </w:rPr>
        <w:t>E. 9.2</w:t>
      </w:r>
    </w:p>
    <w:p>
      <w:r>
        <w:t>Cela étant, il convient d'examiner la conclusion prise dans le cadre de sa demande. À la lecture de celle-ci, l'on comprend que la demanderesse conclut à ce que la défenderesse soit condamnée à poursuivre le versement des indemnités journalières. Cette conclusion vise le paiement d'une somme d'argent. Partant, une telle conclusion doit être chiffrée conformément à l'art. 84 al. 2 CPC, ce que la demanderesse a omis d'effectuer. Bien qu'elle ait allégué le fait que la défenderesse a cessé le paiement des indemnités journalières, elle n'a toutefois pas précisé d'emblée de cause, soit au moment du dépôt de sa demande, le montant des indemnités journalières qu'elle sollicitait, ni indiqué la période pour laquelle elle réclamait les prestations. Ce faisant, son chef de conclusion revient dans les faits à déléguer au juge la tâche de déterminer lui-même les indemnités journalières qui lui seraient potentiellement dues, sans que la somme à allouer ne soit d'emblée reconnaissable, ce qui n'est pas admissible au regard de la jurisprudence du Tribunal fédéral susmentionnée ( cf . consid. 6.1 et 6.3 supra ). En outre, le fait d'indiquer uniquement le montant de l'indemnité journalière et ce, dans le cadre de la réplique, ne permet pas de souscrire à l'exigence de l'art. 84 al. 2 CPC. La demanderesse n'a pas non plus indiqué, à titre provisoire, une valeur litigieuse minimale, ni même allégué qu'il lui était impossible de chiffrer le montant de sa conclusion condamnatoire d'entrée de cause. Elle a de surcroît indiqué dans sa réplique du 25 juin 2024 que le montant de son indemnité journalière s'élevait à CHF 451.60, de sorte qu'elle disposait des éléments nécessaires pour quantifier sans grande difficulté ses prétentions au moment du dépôt de la demande. Elle ne remplit dès lors pas les conditions de l'art. 85 al. 1 CPC qui lui aurait donné la possibilité d'intenter une action non chiffrée. Par conséquent, il convient de retenir que la demanderesse n'a pas chiffré ses conclusions conformément à l'art. 84 al. 2 CPC et ne remplit pas les conditions prévues à l'art. 85 al. 1 CPC qui lui auraient permis d'intenter une demande en paiement non chiffrée.</w:t>
      </w:r>
    </w:p>
    <w:p>
      <w:r>
        <w:rPr>
          <w:b/>
        </w:rPr>
        <w:t>E. 9.3</w:t>
      </w:r>
    </w:p>
    <w:p>
      <w:r>
        <w:t>Bien que la demanderesse ne le soulève pas, il est précisé qu'au vu de la jurisprudence du Tribunal fédéral précitée (cf. consid. 6.2 supra ), ni le devoir d'interpellation (art. 56 CPC) ni la maxime inquisitoire sociale applicable à la procédure n'imposent à la chambre de céans d'attirer son attention sur le caractère irrecevable de sa conclusion. Il n'incombe pas non plus à la chambre de céans d'accorder un délai à la demanderesse pour chiffrer sa conclusion, tel que prévu par l'art. 132 CPC, dans la mesure où cette disposition ne s'applique pas aux conclusions incomplètes prises dans une demande (cf. consid. 8 supra ).</w:t>
      </w:r>
    </w:p>
    <w:p>
      <w:r>
        <w:rPr>
          <w:b/>
        </w:rPr>
        <w:t>E. 10</w:t>
      </w:r>
    </w:p>
    <w:p>
      <w:r>
        <w:t>Au vu de ce qui précède, la demande sera déclarée irrecevable. La chambre de céans attire l'attention de la demanderesse sur le fait qu'elle conserve la possibilité de redéposer une demande en paiement en bonne et due forme, ses prétentions n'étant en l'état pas encore prescrites (art. 46 al. 3 LCA ; art. 59 al. 2 let. e CPC ; cf . arrêt du Tribunal fédéral 4D_88/2014 du 25 mars 2015 consid. 3).</w:t>
      </w:r>
    </w:p>
    <w:p>
      <w:r>
        <w:rPr>
          <w:b/>
        </w:rPr>
        <w:t>E. 11</w:t>
      </w:r>
    </w:p>
    <w:p>
      <w:r>
        <w:t>Pour le surplus, il n'est pas alloué de dépens à la charge du demandeur/de la demanderesse (art. 22 al. 3 let. b de la loi d'application du code civil suisse et d’autres lois fédérales en matière civile du 11 octobre 2012 [LaCC - E 1 05]) ni perçu de frais judiciaires (art. 114 let. e CPC).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