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A/847/2018 vom 7. Januar 2019</w:t>
      </w:r>
    </w:p>
    <w:p>
      <w:r>
        <w:t>GE Cour de justice, 2019-01-07, FR</w:t>
      </w:r>
    </w:p>
    <w:p>
      <w:r>
        <w:rPr>
          <w:b/>
        </w:rPr>
        <w:t xml:space="preserve">Quelle: </w:t>
      </w:r>
      <w:r>
        <w:t>https://mcp.opencaselaw.ch/entscheid/ge_gerichte_A_847_2018</w:t>
      </w:r>
    </w:p>
    <w:p>
      <w:r>
        <w:t>FR: GE_GERICHTE A/847/2018 du 7 janvier 2019</w:t>
      </w:r>
    </w:p>
    <w:p>
      <w:r>
        <w:t>IT: GE_GERICHTE A/847/2018 del 7 gennaio 2019</w:t>
      </w:r>
    </w:p>
    <w:p>
      <w:pPr>
        <w:pStyle w:val="Heading2"/>
      </w:pPr>
      <w:r>
        <w:t>Erwägungen</w:t>
      </w:r>
    </w:p>
    <w:p>
      <w:r>
        <w:rPr>
          <w:b/>
        </w:rPr>
        <w:t>E. 12</w:t>
      </w:r>
    </w:p>
    <w:p>
      <w:r>
        <w:t>septembre 1985, LPA - E 5 10).![endif]&gt;![if&gt; 4.        Le litige porte sur le droit de la recourante à des mesures professionnelles.![endif]&gt;![if&gt; 5.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Selon l’art. 28 al. 2 LAI, l’assuré a droit à une rente entière s’il est invalide à 70 % au moins, à un trois-quarts de rente s'il est invalide à 60 % au moins, à une demi-rente s’il est invalide à 50% au moins, ou à un quart de rente s’il est invalide à 40 % au moins.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LPGA.![endif]&gt;![if&gt; 7.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8.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Est à prendre en considération tout handicap physique ou psychique propre à réduire le nombre des professions et activités que l’assuré pourrait exercer, compte tenu de ses dispositions personnelles, des aptitudes exigées et des possibilités disponibles, ou à empêcher l’exercice de l’activité déployée jusqu’à présent (Michel VALTERIO, commentaire, Loi fédérale sur l’assurance-invalidité, 2018 p. 214).![endif]&gt;![if&gt; b. Un taux d'invalidité inférieur à 20 % est insuffisant pour ouvrir droit à un reclassement professionnel (ATF 139 V 399 consid. 5.3 p. 403)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10.    En l’occurrence, l’intimé a considéré, suivant l’avis du SMR du 20 mars 2018, qu’au vu de l’expertise du Dr N______ du 24 juillet 2017 et du rapport du Dr L______ du 15 décembre 2017, la capacité de travail de la recourante était nulle dans son ancienne activité de serveuse et de 100 % dans une activité adaptée à ses limitations fonctionnelles (épargne du dos). Aucun avis médical contraire ne figure au dossier, de sorte qu’il y a lieu de considérer que l’avis du SMR précité est probant et que les conclusions de l’intimé constatant que la recourante ne présente pas d’incapacité de gain ouvrant un droit à une rente, peuvent être confirmées. En effet, il y a lieu d’admettre qu’au 15 décembre 2017, date du rapport du Dr L______, la recourante présentait une capacité de travail totale dans une activité adaptée à ses limitations fonctionnelles, de sorte qu’au 26 décembre 2017, soit une année après le début de son incapacité de travail totale, elle ne subissait pas de perte de gain significative au sens de l’assurance-invalidité. ![endif]&gt;![if&gt; La recourante ne le conteste pas. Elle requiert uniquement la mise au bénéfice d’une orientation professionnelle. A cet égard, la recourante a déclaré en audience de comparution personnelle qu’elle suivait déjà un stage aux EPI pour six mois depuis le 27 mai 2018, dans le conditionnement, mis en place par l’OCE. Dans ces conditions, il n’apparait pas justifié de lui accorder, en sus, une mesure d’orientation professionnelle, ce d’autant que les limitations fonctionnelles qu’elle présente (épargne du dos) ne devraient pas l’entraver dans la recherche d’une activité légère, disponible sur le marché actuel du travail. 11.    Partant, le recours ne peut qu’être rejeté.![endif]&gt;![if&gt; 12.    Au surplus, la chambre de céans constate que la SWICA n’a pas suivi les conclusions de son propre expert, le Dr N______. En effet, celui-ci a attesté le 24 juillet 2017 d’une incapacité de travail encore totale de la recourante comme serveuse et d’une capacité de travail de seulement 50 % dans une activité adaptée. Selon la jurisprudence citée par la SWICA elle-même, il semble que ce soit une indemnité journalière entière et non pas de 50 % qui était dès lors due à la recourante jusqu’au 14 novembre 2017 et une indemnité basée sur une capacité de travail de 50 % dans une activité adaptée jusqu’à la date à laquelle la recourante a recouvré une capacité de travail de 100 % dans une activité adaptée, date fixée par le présent jugement au 15 décembre 2017. Cette question outrepasse cependant l’objet du présent litige et il incombe à la recourante, si elle l’estime pertinent, de faire valoir ses droits auprès de la SWICA.![endif]&gt;![if&gt; 13.    Etant donné que, depuis le 1 er juillet 2006, la procédure n'est plus gratuite (art. 69 al. 1bis LAI), au vu du sort du recours, il y a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