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A/83/2008 vom 11. März 2008</w:t>
      </w:r>
    </w:p>
    <w:p>
      <w:r>
        <w:t>GE Cour de justice, 2008-03-11, FR</w:t>
      </w:r>
    </w:p>
    <w:p>
      <w:r>
        <w:rPr>
          <w:b/>
        </w:rPr>
        <w:t xml:space="preserve">Quelle: </w:t>
      </w:r>
      <w:r>
        <w:t>https://mcp.opencaselaw.ch/entscheid/ge_gerichte_A_83_2008</w:t>
      </w:r>
    </w:p>
    <w:p>
      <w:r>
        <w:t>FR: GE_GERICHTE A/83/2008 du 11 mars 2008</w:t>
      </w:r>
    </w:p>
    <w:p>
      <w:r>
        <w:t>IT: GE_GERICHTE A/83/2008 del 11 marzo 2008</w:t>
      </w:r>
    </w:p>
    <w:p>
      <w:pPr>
        <w:pStyle w:val="Heading2"/>
      </w:pPr>
      <w:r>
        <w:t>Erwägungen</w:t>
      </w:r>
    </w:p>
    <w:p>
      <w:r>
        <w:rPr>
          <w:b/>
        </w:rPr>
        <w:t>E. 2</w:t>
      </w:r>
    </w:p>
    <w:p>
      <w:r>
        <w:t>ème section dans la cause Monsieur K______ contre SERVICE DES AUTOMOBILES ET DE LA NAVIGATION EN FAIT Monsieur K______, né en 1952, est domicilié à Meyrin. Il est titulaire d’un permis de conduire depuis le 20 septembre 1972. A teneur du dossier en possession du Tribunal administratif, ce conducteur n’a aucun antécédent en matière de circulation routière. Le 12 juillet 2007, à 06h50, l’intéressé circulait en voiture avenue Pictet-de-Rochemont en direction de Chêne à 72 km/h, marge de sécurité déduite, alors que la vitesse maximale autorisée à cet endroit était de 50 km/h. L’excès de vitesse a ainsi été de 22 km/h. Par arrêté du 3 janvier 2008, le service des automobiles et de la navigation (ci-après : le SAN) a retiré le permis de conduire de M. K______ pendant un mois, en application de l’article 16b de la loi fédérale sur la circulation routière du 19 décembre 1958 (LCR - RS 741.01). Le 11 janvier 2008, M. K______ a saisi le Tribunal administratif d’un recours en concluant implicitement à l’annulation de la décision du SAN. Il n’a pas contesté l’infraction qui lui était reprochée, mais a insisté sur ses besoins professionnels d’administrateur et animateur de sociétés chargé du développement de l’entreprise. A ce titre, il était appelé à se déplacer aussi bien en Suisse qu’à l’étranger, avec un matériel encombrant. Sur le plan privé, il avait un besoin non négligeable de disposer de son permis. En effet, son père, âgé de quatre vingt-huit ans, venait d’être placé en EMS et sa mère ne conduisant plus, il l’accompagnait souvent dans cette institution. Par plis simple et recommandé du 10 janvier 2008, le juge délégué a attiré l’attention du recourant sur la jurisprudence du Tribunal fédéral en matière de dépassement de la vitesse autorisée en localité et sur la marge de manœuvre quasi inexistante de la juridiction de céans dans la présente espèce. Un délai lui a été accordé, échéant le 25 février 2008, pour communiquer au Tribunal administratif la suite qu’il entendait donner à son recours. Il a été informé que sans nouvelles de sa part dans le délai précité, la cause serait gardée à juger en l’état du dossier. A ce jour, le recourant n’a pas donné suite aux courriers précités. D’autre part, ni l’un, ni l’autre des plis simple et recommandé n’ont été retournés au tribunal, de sorte que celui-ci admettra qu’ils ont bien atteint leur destinataire. EN DROIT Interjeté en temps utile devant la juridiction compétente, le recours est recevable (art. 56A de la loi sur l’organisation judiciaire du 22 novembre 1941 - LOJ - E 2 05 ; art. 63 al. 1 litt. a de la loi sur la procédure administrative du 12 septembre 1985 - LPA - E 5 10). Chacun doit respecter les signaux et les marques et, en particulier, les signaux fixant une vitesse maximale (art. 27 al. 1 LCR ; 16 et 22 de l’ordonnance sur la signalisation routière du 5 septembre 1979 - OSR - RS 741.21 ; ATF 108 IV 62 ).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 ATF 121 II 127 , JdT 1995 I 664).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 ATF 123 II 106 , JdT 1997 I 725, consid. 2c, p. 731 et réf. cit. ; ATF 123 II 37 , consid. 1d, pp. 40-41, SJ 1997 pp. 527-528 ; ATA/382/1998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 ATF 118 IV 190 ; 108 Ib 67 ; 104 Ib 51 ). En l’espèce, le dépassement de la vitesse autorisée, au demeurant non contesté, a été de 22 km/h, après déduction de la marge de sécurité. Il se situe ainsi au milieu de la fourchette des cas moyennement graves saisis par l’article 16b alinéa 1 lettre a LCR. Par conséquent, c’est à juste titre que le SAN a prononcé le retrait du permis de conduire de l’intéressé. En application de l’article 16 b alinéa 2 lettre a LCR, le retrait du permis de conduire est d’un mois au minimum, de telle sorte que la décision prise par le SAN respecte parfaitement la loi. En tous points mal fondé, le recours sera rejeté. Vu l’issue du litige,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