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A/83/2007 vom 27. Juni 2006</w:t>
      </w:r>
    </w:p>
    <w:p>
      <w:r>
        <w:t>GE Cour de justice, 2006-06-27, FR</w:t>
      </w:r>
    </w:p>
    <w:p>
      <w:r>
        <w:rPr>
          <w:b/>
        </w:rPr>
        <w:t xml:space="preserve">Quelle: </w:t>
      </w:r>
      <w:r>
        <w:t>https://mcp.opencaselaw.ch/entscheid/ge_gerichte_A_83_2007</w:t>
      </w:r>
    </w:p>
    <w:p>
      <w:r>
        <w:t>FR: GE_GERICHTE A/83/2007 du 27 juin 2006</w:t>
      </w:r>
    </w:p>
    <w:p>
      <w:r>
        <w:t>IT: GE_GERICHTE A/83/2007 del 27 giugno 2006</w:t>
      </w:r>
    </w:p>
    <w:p>
      <w:pPr>
        <w:pStyle w:val="Heading2"/>
      </w:pPr>
      <w:r>
        <w:t>Volltext</w:t>
      </w:r>
    </w:p>
    <w:p>
      <w:r>
        <w:t>Genève Cour de justice (Cour de droit public) Chambre des assurances sociales 19.04.2007 A/83/2007</w:t>
      </w:r>
    </w:p>
    <w:p>
      <w:r>
        <w:t>A/83/2007 ATAS/422/2007 du 19.04.2007 ( AI ) , IRRECEVABLE république et canton de genève POUVOIR JUDICIAIRE A/83/2007 ATAS/422/2007 ARRET DU TRIBUNAL CANTONAL DES ASSURANCES SOCIALES Chambre 3 du 19 avril 2007 En la cause Madame C_________, domiciliée , ONEX recourante contre OFFICE CANTONAL DE L'ASSURANCE INVALIDITE, sis rue de Lyon 97, case postale 425, GENEVE intimé ATTENDU EN FAIT Que le 31 octobre 2006, l'Office cantonal de l'assurance-invalidité (OCAI) a rendu une décision sur opposition aux termes de laquelle il a confirmé sa décision du 27 juin 2006 supprimant la rente allouée à Madame C_________ à compter du mois de janvier 2001 ; Que cette décision sur opposition a été adressée à l'assurée par pli recommandé (LSI) ; Que, renseignements pris auprès de LA POSTE, la destinataire en a été avisée le 6 novembre 2006 mais n'a pas retiré l'envoi durant le délai de garde - lequel venait à échéance le 13 novembre 2006 -, de sorte que le pli a été renvoyé à l'OCAI - qui l'a réceptionné en date du 16 novembre 2006 - avec la mention "non réclamé" ; Que la décision sur opposition a alors été envoyée une seconde fois à l’assurée sous pli simple ; Que par courrier du 10 janvier 2007, l'assurée a interjeté recours auprès du Tribunal cantonal des assurances sociales ; Qu’invitée à se prononcer, l’autorité intimée, dans son préavis du 20 février 2007, a conclu à l’irrecevabilité du recours pour cause de tardiveté ; Que par courrier du 5 mars 2007, la recourante a allégué n'avoir jamais reçu la décision la concernant, pas plus qu'un avis de réception ; Qu'interrogée par le Tribunal de céans, elle a ajouté, par lettre du 15 mars 2007, qu'elle n'a eu connaissance de la décision prise à son encontre que lorsqu'elle s'est rendue aux "bureaux de l'AVS" en personne pour s'enquérir de la raison pour laquelle la décision tardait, sans préciser à quelle date remontent ces faits ; CONSIDERANT EN DROIT Que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relatives à la loi sur l’assurance-invalidité du 19 juin 1959 (LAI) ; Que le tribunal de céans est donc compétent ; Que l’art. 60 de la loi fédérale du 6 octobre 2000 sur la partie générale du droit des assurances sociales (LPGA) prévoit un délai de recours de trente jours dès la notification de la décision attaquée ; Que force est dès lors de constater - ce qui n’est au demeurant pas contesté - que le recours - daté du 10 janvier 2007 et expédié le même jour - n’a pas été déposé dans le délai légal puisque celui-ci a commencé à courir à l'échéance du délai de garde, soit le 13 novembre 2006, de sorte qu'il est venu à échéance le 13 décembre 2006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PA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Qu’en l’espèce, la recourante allègue n'avoir reçu ni l'avis de retrait de LA POSTE ni la décision qui lui a ensuite été renvoyée sous pli simple; Que la jurisprudence a cependant la présomption qu'un envoi recommandé est réputé notifié à la date à laquelle son destinataire le reçoit effectivement ; Que lorsque ce dernier ne peut être atteint et qu'une invitation à retirer l'envoi est déposée dans sa boîte aux lettres ou dans sa case postale, la date de l'envoi est déterminante ; Que si l'envoi n'est pas retiré dans le délai de garde de sept jours, il est réputé avoir été communiqué le dernier jour de ce délai ; Qu'enfin, lorsque l'autorité procède à une deuxième notification, celle-ci est sans effets juridiques (ATF 127 I 31 , 123 III 493 , 119 II 149 consid. 2) ; Qu'en l'occurrence, dès lors que la recourante n'a pas retiré la décision qui lui a été adressée en courrier recommandé, on doit considérer que la décision lui a été notifiée le dernier jour du délai de garde, soit le 13 novembre 2006 ; Que par conséquent, le recours, formé en date du 10 janvier 2007, est tardif et, partant, irrecevable. PAR CES MOTIFS, LE TRIBUNAL CANTONAL DES ASSURANCES SOCIALES : Statuant A la forme : déclare le recours interjeté par Madame C_________ irrecevable pour cause de tardiveté. L'émolument, fixé à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