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A/833/2014 vom 17. Februar 2015</w:t>
      </w:r>
    </w:p>
    <w:p>
      <w:r>
        <w:t>GE Cour de justice, 2015-02-17, FR</w:t>
      </w:r>
    </w:p>
    <w:p>
      <w:r>
        <w:rPr>
          <w:b/>
        </w:rPr>
        <w:t xml:space="preserve">Quelle: </w:t>
      </w:r>
      <w:r>
        <w:t>https://mcp.opencaselaw.ch/entscheid/ge_gerichte_A_833_2014</w:t>
      </w:r>
    </w:p>
    <w:p>
      <w:r>
        <w:t>FR: GE_GERICHTE A/833/2014 du 17 février 2015</w:t>
      </w:r>
    </w:p>
    <w:p>
      <w:r>
        <w:t>IT: GE_GERICHTE A/833/2014 del 17 febbraio 2015</w:t>
      </w:r>
    </w:p>
    <w:p>
      <w:pPr>
        <w:pStyle w:val="Heading2"/>
      </w:pPr>
      <w:r>
        <w:t>Erwägungen</w:t>
      </w:r>
    </w:p>
    <w:p>
      <w:r>
        <w:rPr>
          <w:b/>
        </w:rPr>
        <w:t>E. 1</w:t>
      </w:r>
    </w:p>
    <w:p>
      <w:r>
        <w:t>ère section dans la cause ROCKWELL SA représentée par la régie Zimmermann SA, mandataire contre DÉPARTEMENT DE L'AMÉNAGEMENT, DU LOGEMENT ET DE L'ÉNERGIE _________ Recours contre le jugement du Tribunal administratif de première instance du 25 juin 2014 ( JTAPI/737/2014 ) EN FAIT 1) Rockwell SA (ci-après : la société) a pour but l’acquisition, le développement, l’exploitation et la mise en valeur de tous biens immobiliers sur la commune de Vernier, à l'exception d'opérations immobilières prohibées par les lois et ordonnances fédérales sur l'acquisition d'immeubles par des personnes à l'étranger.![endif]&gt;![if&gt; 2) La société est propriétaire de la parcelle n° 4'680 de la commune de Vernier (ci-après : la parcelle), sise à l’adresse av. de Châtelaine n° 60, d’une surface de 769 m</w:t>
      </w:r>
    </w:p>
    <w:p>
      <w:r>
        <w:rPr>
          <w:b/>
        </w:rPr>
        <w:t>E. 2</w:t>
      </w:r>
    </w:p>
    <w:p>
      <w:r>
        <w:t>de surface brute de plancher à créer, visé à l'alinéa 2, est adapté à l'indice suisse des prix de la construction applicable à la région lémanique à compter du 1 er janvier 2004, lors de chaque écart égal ou supérieur de 5 % (art. 11 al. 5 RGZD). 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 6) 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 les frais qu'ils ont supportés (André JOMINI, in Commentaire de la loi fédérale sur l'aménagement du territoire, 1999, art. 19). ![endif]&gt;![if&gt; 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 7) En l'espèce, la recourante tient notamment grief au bordereau litigieux de violer le droit, le terrain concerné étant déjà équipé.![endif]&gt;![if&gt; Il n’est pas contesté que le montant total des frais d'équipement public nécessités par la réalisation du PLQ considéré est connu, dans la mesure où la commune de Vernier n'entend plus réaliser aucun équipement et que cette dernière n'a pas adopté de crédit en vue du financement de travaux. Dans la mesure où il s'agit de conditions cumulatives, l'art. 11 al. 3 RGZD est inapplicable. Il en découle qu'il y a lieu d'appliquer l'art. 11 al. 2 RGZD, disposition prévoyant la méthode de calcul forfaitaire, méthode habituelle de calcul pour la taxe d'équipement ( ATA/921/2014 du 25 novembre 2014). 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 ( ATA/921/2014 précité). Le grief est infondé. 8) Se pose la question de la bonne foi de la société.![endif]&gt;![if&gt; Le 27 janvier 2010, la société a signé pour accord le formulaire intitulé « Conditions d’application des normes de la zone de développement » établi par l’office de l’urbanisme, indiquant que la taxe d’équipement public était arrêtée à CHF 79'386.50, avant de recourir ensuite auprès du TAPI contre cette facture. Les organes de l’État et les particuliers doivent agir de manière conforme aux règles de la bonne foi (art. 5 al. 3 de la Constitution fédérale de la Confédération suisse du 18 avril 1999 - Cst. - RS 101). En signant le formulaire uniquement pour obtenir l'autorisation sollicitée, puis en recourant contre la facture, la société a manifestement violé le principe de la bonne foi. En effet, dès la signature dudit document, le DALE était en droit de considérer le montant de la facture comme accepté ( ATA/921/2014 précité). 9) Au vu de l’accord de la société du 27 janvier 2010, de l’arrêt du Conseil d’État du 31 mars 2010 et de l’autorisation de construire délivrée le 12 avril 2010, c’est à juste titre que le TAPI a déclaré le recours du 19 mars 2014 irrecevable, le bordereau du 21 juin 2010 n’étant qu’une mesure d’exécution d’une décision, au sens de l’art. 59 let. b LPA.![endif]&gt;![if&gt; 10) Il n’est dès lors pas nécessaire d’examiner si la société avait reçu la facture du 21 juin 2010, ni même si la facture du 31 décembre 2013 est une décision sujette à recours. En effet, même à considérer que la recourante aurait interjeté recours en temps utile contre une décision, l’issue de la présente procédure ne serait pas modifiée, au vu de l’engagement pris par la recourante le 27 janvier 2010.![endif]&gt;![if&gt; L’argument subsidiaire de la société relatif à une modification, à la baisse, de la SBP et donc du montant hypothétiquement dû est, à ce titre aussi, irrelevant. Le changement de pratique invoqué par la recourante est sans pertinence. Outre le fait que la société n’allègue nullement en quoi la pratique aurait été modifiée, le département n’a fait que formaliser, voire préciser dans une directive, une pratique qui avait été élaborée à la suite de l’audit de la Cour des comptes et de la communiquer, comme préconisé par le rapport d’audit ( ATA/130/2015 du 3 février 2015). Cette formalisation est sans incidence sur la taxe d’équipement due par la société en lien avec l’autorisation de construire DD102374/4. Les griefs de mauvais établissement des faits par le TAPI est infondé compte tenu de ce qui précède. 11) Partant, la facture du DALE du 21 juin 2010, reprise par facture du 31 décembre 2013, adressée à la société, liée à l'autorisation de construire, d'un montant de CHF 79'386.50 relative à la taxe d'équipement public est conforme à la loi, notamment au regard de l'art. 11 al. 2 RGZD.![endif]&gt;![if&gt; 12) Au vu de ce qui précède, le recours sera rejeté. ![endif]&gt;![if&gt; Vu l’issue du litige, un émolument de CHF 2’000.- sera mis à la charge de la société,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