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A/833/2007 vom 5. Juni 2007</w:t>
      </w:r>
    </w:p>
    <w:p>
      <w:r>
        <w:t>GE Cour de justice, 2007-06-05, FR</w:t>
      </w:r>
    </w:p>
    <w:p>
      <w:r>
        <w:rPr>
          <w:b/>
        </w:rPr>
        <w:t xml:space="preserve">Quelle: </w:t>
      </w:r>
      <w:r>
        <w:t>https://mcp.opencaselaw.ch/entscheid/ge_gerichte_A_833_2007</w:t>
      </w:r>
    </w:p>
    <w:p>
      <w:r>
        <w:t>FR: GE_GERICHTE A/833/2007 du 5 juin 2007</w:t>
      </w:r>
    </w:p>
    <w:p>
      <w:r>
        <w:t>IT: GE_GERICHTE A/833/2007 del 5 giugno 2007</w:t>
      </w:r>
    </w:p>
    <w:p>
      <w:pPr>
        <w:pStyle w:val="Heading2"/>
      </w:pPr>
      <w:r>
        <w:t>Erwägungen</w:t>
      </w:r>
    </w:p>
    <w:p>
      <w:r>
        <w:rPr>
          <w:b/>
        </w:rPr>
        <w:t>E. 1</w:t>
      </w:r>
    </w:p>
    <w:p>
      <w:r>
        <w:t>Née en 1974 et domiciliée dans le canton de Genève, Madame M______ y exerce la profession d’aide-comptable.</w:t>
      </w:r>
    </w:p>
    <w:p>
      <w:r>
        <w:rPr>
          <w:b/>
        </w:rPr>
        <w:t>E. 2</w:t>
      </w:r>
    </w:p>
    <w:p>
      <w:r>
        <w:t>Le 11 décembre 2005 à 02h49, le véhicule dont Mme M______ est détentrice a fait l’objet d’un contrôle de vitesse sur le quai Gustave-Ador, à la hauteur de la rue du XXXI-Décembre. L’engin circulait à une allure de 100 km/h alors que celle-ci est limitée à 50 km/h soit un dépassement de 45 km/h, après déduction d’une marge de sécurité de 5 km/h.</w:t>
      </w:r>
    </w:p>
    <w:p>
      <w:r>
        <w:rPr>
          <w:b/>
        </w:rPr>
        <w:t>E. 3</w:t>
      </w:r>
    </w:p>
    <w:p>
      <w:r>
        <w:t>Le 12 janvier 2007, le service des automobiles et de la navigation (ci-après : SAN) a invité Mme M______ à faire part de ses observations. Le 19 janvier 2007, l’intéressée a répondu que l’excès de vitesse n’était certes pas excusable. Cette nuit-là, elle avait dû toutefois se rendre rapidement chez elle, car elle avait égaré les clefs de son appartement dont sa mère était venue lui ouvrir la porte ; elle ne souhaitait pas la faire trop attendre. Par ailleurs, son dossier était vierge.</w:t>
      </w:r>
    </w:p>
    <w:p>
      <w:r>
        <w:rPr>
          <w:b/>
        </w:rPr>
        <w:t>E. 4</w:t>
      </w:r>
    </w:p>
    <w:p>
      <w:r>
        <w:t>Le 29 janvier 2007, le SAN a retiré le permis de conduire à l’intéressée pour une durée de cinq mois, compte tenu de l’absence d’antécédent ainsi que de besoins professionnels pertinents. La mesure s’écartait du minimum légal de trois mois en raison de l’ampleur de l’excès de vitesse.</w:t>
      </w:r>
    </w:p>
    <w:p>
      <w:r>
        <w:rPr>
          <w:b/>
        </w:rPr>
        <w:t>E. 5</w:t>
      </w:r>
    </w:p>
    <w:p>
      <w:r>
        <w:t>Par acte du 5 mars 2007 mais remis le 2 mars déjà à un office postal, Mme M______ a recouru contre la décision du SAN et conclut à un retrait du permis de conduire d’une durée de quatre mois. L’infraction avait été commise dans la nuit du 10 au 11 décembre 2005 à 02h49. La circulation était alors très faible et les quais déserts. Au cours de la soirée, la recourante avait perdu ses clefs et avait fait appel à sa mère pour lui ouvrir la porte de son propre logis, de sorte qu’elle avait roulé à une vitesse excessive pour ne pas faire trop attendre cette dernière. En douze ans de conduite, elle n’avait jamais commis la moindre infraction. Compte tenu des circonstances particulières de l’espèce et de ses excellents antécédents, il y avait lieu de réduire la durée du retrait du permis de conduire à quatre mois.</w:t>
      </w:r>
    </w:p>
    <w:p>
      <w:r>
        <w:rPr>
          <w:b/>
        </w:rPr>
        <w:t>E. 6</w:t>
      </w:r>
    </w:p>
    <w:p>
      <w:r>
        <w:t>Le 23 mars 2007, les parties ont été entendues en audience de comparution personnelle  : a. Mme M______ a exposé qu’elle avait accepté l’amende qui lui avait été infligée et s’était acquittée de son montant de CHF 1'600.- auquel s’était ajouté un émolument de CHF 60.-. Elle n’avait ni besoins professionnels, ni besoins familiaux de conduire un véhicule automobile. Elle avait effectivement dérangé sa mère pour que celle-ci vienne lui ouvrir la porte de son appartement. Elle considérait la durée de la sanction comme excessive au regard de ses excellents antécédents, de son hygiène de vie et de son comportement habituel. b. La représentante de l’autorité intimée a exposé que la décision était maintenue, les bons antécédents ayant déjà été pris en considération pour la fixation de la durée de la mesure de retrait du permis de conduire.</w:t>
      </w:r>
    </w:p>
    <w:p>
      <w:r>
        <w:rPr>
          <w:b/>
        </w:rPr>
        <w:t>E. 7</w:t>
      </w:r>
    </w:p>
    <w:p>
      <w:r>
        <w:t>Les parties ont alors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recourante ne conteste pas les faits qui lui sont reprochés ; elle s’est acquittée de l’amende qui lui a été infligée après la survenance de ceux-ci. 3. Chacun doit respecter les signaux et les marques et, en particulier, les signaux fixant une vitesse maximale (art. 27 al. 1 de la loi fédérale sur la circulation routière du 19 décembre 1958 (LCR - RS 741.01); 16 et 22 de l'ordonnance sur la signalisation routière du 5 septembre 1979 – OSR, RS 741.21 ; ATF 108 IV 62 ).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15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respectivement une interdiction de faire usage en Suisse du permis de conduire étranger,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 JdT 1997 I 725, consid. 2c, p. 731 et réf. cit.; ATF 123 II 37 , consid. 1d, pp. 40-41, SJ 1997 pp. 527-528 ;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En l'espèce, le dépassement de la vitesse autorisée, au demeurant non contesté, a été de 45 km/h après déduction de la marge de sécurité. Comme l’a retenu avec raison l’autorité intimée, il s’agit d’un cas grave, saisi par l’article 16c alinéa 1 lettre a LCR, qui implique le retrait obligatoire du permis de conduire. 4. Selon l’article 16c alinéa 2 lettre a LCR, la durée minimale de retrait est de trois mois après la commission d’une faute grave. Lorsque l’excès de vitesse est important, l’autorité intimée est fondée à s’écarter du minimum légal. Malgré le large pouvoir d’appréciation que lui reconnaît le tribunal de céans en application de l’article 61 alinéa 2 LPA, il importe qu’elle s’en tienne à une pratique aussi uniforme que possible. Or, dans une espèce récente, le tribunal de céans a confirmé une mesure d’interdiction de conduire sur le territoire helvétique pendant quatre mois pour un excès de vitesse de 55 km/h commis sur la route de Malagnou (115 km/h au lieu de 60 km/h ; ATA/45/2006 du 24 janvier 2006). Ultérieurement, la juridiction de céans a confirmé un retrait du permis de conduire d’une durée de quatre mois pour un excès de vitesse d’une ampleur de 32 km/h, commis hors localité, alors que les antécédents de l’intéressé n’étaient pas exempts de tout reproche ( ATA/367/2006 du 27 juin 2006). 5. A la lumière de cette jurisprudence, il convient de faire droit aux conclusions de la recourante et de réduire la durée de la mesure de retrait à quatre mois. 6. Bien fondé, le recours doit être admis. Son auteur, qui obtient entièrement gain de cause, a droit à une indemnité pour ses frais de procédure. Celle-ci sera arrêtée à CHF 600.-. L’autorité intimée, qui succombe, sera condamné aux frais de la procédure arrêtés en l’espèce à CHF 400.- en application de l’article 87 alinéa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