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A/832/2023 vom 19. März 2024</w:t>
      </w:r>
    </w:p>
    <w:p>
      <w:r>
        <w:t>GE Cour de justice, 2024-03-19, FR</w:t>
      </w:r>
    </w:p>
    <w:p>
      <w:r>
        <w:rPr>
          <w:b/>
        </w:rPr>
        <w:t xml:space="preserve">Quelle: </w:t>
      </w:r>
      <w:r>
        <w:t>https://mcp.opencaselaw.ch/entscheid/ge_gerichte_A_832_2023</w:t>
      </w:r>
    </w:p>
    <w:p>
      <w:r>
        <w:t>FR: GE_GERICHTE A/832/2023 du 19 mars 2024</w:t>
      </w:r>
    </w:p>
    <w:p>
      <w:r>
        <w:t>IT: GE_GERICHTE A/832/2023 del 19 marzo 2024</w:t>
      </w:r>
    </w:p>
    <w:p>
      <w:pPr>
        <w:pStyle w:val="Heading2"/>
      </w:pPr>
      <w:r>
        <w:t>Erwägungen</w:t>
      </w:r>
    </w:p>
    <w:p>
      <w:r>
        <w:rPr>
          <w:b/>
        </w:rPr>
        <w:t>E. 4</w:t>
      </w:r>
    </w:p>
    <w:p>
      <w:r>
        <w:t>Se pose en premier lieu la question de la prescription et de la péremption.</w:t>
      </w:r>
    </w:p>
    <w:p>
      <w:r>
        <w:rPr>
          <w:b/>
        </w:rPr>
        <w:t>E. 4.1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 Avant le 1 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 La prescription, qui était, en cas de soustraction d’impôt consommée, de dix ans à compter de la fin de la période fiscale pour laquelle la taxation n’avait pas été effectuée ou l’avait été de façon incomplète, était en outre interrompue par tout acte de procédure tendant à la poursuite du contribuable (art. 184 al. 2 aLIFD). La poursuite de la tentative de soustraction se prescrivait par six ans à compter de la clôture définitive de la procédure au cours de laquelle la tentative de soustraction avait été commise (ancien art. 184 al. 1 let. a et al. 2 LIFD). Depuis le 1 er janvier 2017, la poursuite pénale se prescrit, au plus tôt, par dix ans à compter de la fin de la période fiscale pour laquelle la taxation n’a pas été effectuée ou l’a été de façon incomplète (art. 184 al. 1 let. b ch. 1 LIFD). En cas de tentative de soustraction d’impôt, la poursuite pénale se prescrit par six ans à compter de la clôture définitive de la procédure au cours de laquelle la tentative de soustraction a été commise (art. 184 al. 1 let. a LIFD). La prescription ne court plus si une décision a été rendue par l’autorité cantonale compétente avant l’échéance du délai de prescription (art. 184 al. 2 LIFD). Le prononcé d’une amende par l’administration fiscale cantonale constitue notamment une telle « décision » (Xavier OBERSON, Droit fiscal suisse, 5e éd., 2021, § 47 p. 718 et la référence citée). En vertu des art. 205f LIFD et 78f LHID, le nouveau droit est applicable au jugement des infractions commises au cours des périodes fiscales précédant le 1 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 er janvier 2017, a un contenu identique à celui de l’art. 184 LIFD ; il est directement applicable si les cantons n’ont pas adapté leur législation au 1 er janvier 2017. Tel est le cas du canton de Genève (art. 77 LPFisc, dont l’al. 1 let. a et 2 diffèrent de l’art. 58 LHID).</w:t>
      </w:r>
    </w:p>
    <w:p>
      <w:r>
        <w:rPr>
          <w:b/>
        </w:rPr>
        <w:t>E. 4.2</w:t>
      </w:r>
    </w:p>
    <w:p>
      <w:r>
        <w:t>En l’occurrence, en application du nouveau droit, la poursuite pénale pour complicité de soustraction d’impôt consommée reprochée au contribuable intimé pour les périodes fiscales 2012 à 2014 n’est pas prescrite, dès lors que la recourante lui a notifié les bordereaux d’amende y relatifs le 12 décembre 2022, soit avant l’échéance du délai de dix ans après la fin de cette période fiscale. En effet, conformément à la doctrine précitée, ces amendes constituent une « décision » au sens de l’art. 184 al. 2 LIFD dont le prononcé a pour effet d’arrêter le cours de la prescription. Il en va de même en application de l’ancien droit, le délai de quinze ans ne s’étant pas écoulé depuis la fin des périodes litigieuses. Enfin, le délai de prescription de la poursuite pénale pour tentative de soustraction des ICC et IFD 2015 n’a pas encore commencé à courir, puisque la procédure de taxation au cours de laquelle la tentative de soustraction aurait été commise n’est pas encore close, dès lors qu’elle fait l’objet du présent litige.</w:t>
      </w:r>
    </w:p>
    <w:p>
      <w:r>
        <w:rPr>
          <w:b/>
        </w:rPr>
        <w:t>E. 5.1</w:t>
      </w:r>
    </w:p>
    <w:p>
      <w:r>
        <w:t>Conformément à l’art. 177 al. 1 LIFD, celui qui, intentionnellement, incite à une soustraction d’impôt, y prête son assistance, la commet en qualité de représentant du contribuable ou y participe, est puni d’une amende fixée indépendamment de la peine encourue par le contribuable ; en outre, il répond solidairement de l’impôt soustrait. La responsabilité personnelle de l’organe de la personne morale est expressément réservée par l’art. 181 al. 3 LIFD, qui dispose que ceux-ci peuvent être pénalement poursuivis en vertu de l’art. 177 LIFD.</w:t>
      </w:r>
    </w:p>
    <w:p>
      <w:r>
        <w:rPr>
          <w:b/>
        </w:rPr>
        <w:t>E. 5.2</w:t>
      </w:r>
    </w:p>
    <w:p>
      <w:r>
        <w:t>La complicité est définie par les règles générales du Code pénal suisse du 21 décembre 1937 (CP - RS 311.0) (art. 25 par renvoi de l’art. 333). Objectivement, celle-ci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À cet égard, il suffit qu’il connaisse les principaux traits de l’activité délictueuse qu’aura l’auteur et aie l’intention de favoriser l’accomplissement des faits constituant l’infraction principale, le dol éventuel étant suffisant (ATF 132 IV 49 consid. 1.1 ; 121 V 109 consid. 3a ; arrêt du Tribunal fédéral 6B_1437/2020 du 22 septembre 2021 consid. 1.2.3). Au contraire du coauteur, le complice ne veut pas l’infraction pour sienne et n’est pas prêt à en assumer la responsabilité (arrêt du Tribunal fédéral 6B_1089/2018 du 24 janvier 2019 consid. 5.1 et les arrêts cités). Conformément au principe de l’accessoriété limitée, les participants secondaires sont punissables si l’auteur principal a réalisé les éléments constitutifs objectifs et subjectifs de l’infraction et que son acte est illicite (ATF 144 IV 265 consid. 2.3.2; Pietro SANSONETTI/Danielle HOSTETTLER, CR-LIFD, n° 7 ad art. 177 LIFD; Diane MONTI, Les contraventions fiscales en droit fiscal harmonisé, thèse 2001, p. 111).</w:t>
      </w:r>
    </w:p>
    <w:p>
      <w:r>
        <w:rPr>
          <w:b/>
        </w:rPr>
        <w:t>E. 5.3</w:t>
      </w:r>
    </w:p>
    <w:p>
      <w:r>
        <w:t>Concernant la poursuite pénale des organes de la personne morale pour participation à une soustraction fiscale, conformément à l’art. 56 al. 3 LIHD par renvoi de l’art. 57 al. 1 LHID, l’art. 71 LPFisc, par renvoi de l’art. 74 al. 2 LPFisc, correspond aux art. 177 et 181 al. 3 LIFD.</w:t>
      </w:r>
    </w:p>
    <w:p>
      <w:r>
        <w:rPr>
          <w:b/>
        </w:rPr>
        <w:t>E. 5.4</w:t>
      </w:r>
    </w:p>
    <w:p>
      <w:r>
        <w:t>Selon l’art. 6 par. 2 de la Convention de sauvegarde des droits de l’homme et des libertés fondamentales du 4 novembre 1950 (CEDH - RS 0.101), toute personne accusée d’une infraction est présumée innocente jusqu’à ce que sa culpabilité ait été légalement établie. Le principe de présomption d’innocence, ancré aux art. 32 al. 1 Cst. et de l’art. 6 § 2 CEDH, s’applique avant tout en matière de procédure pénale.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c. Royaume Uni du 5 juillet 2001, req. n° 41087/98, § 40 ; Barbera, Messegué et Jabardo c. Espagne du 6 décembre 1988 § 77). Sur la base de ce principe, l’administration fiscale doit prouver qu’il existe des motifs d’infliger des majorations d’impôts en application des lois pertinentes (ACEDH Janosevic c. Suède du 23 juillet 2002, req.  n° 34619/97 § 98 ; ATA/919/2022 du 13 septembre 2022 consid. 34a et les arrêts cités).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(ACEDH Allen contre Royaume-Uni du 12 juillet 2013, req. n° 25424/09, § 93 ; Allenet de Ribemont contre France du 10 février 1995, série A n° 308, §§ 35-36 ; ATF 147 I 386 consid. 1.2 et les arrêts cités).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d’État considère l’intéressé comme coupable (ACEDH Karaman contre Allemagne du 27 février 2014, req. n° 17103/ 10, § 41; Böhmer contre Allemagne du 3 octobre 2002, req. n° 37568/97, § 54 ; Minelli contre Suisse du 25 mars 1983, série A n° 62, req. n° 8660/79, § 37 ; ATF 147 I 386 consid. 1.2 et les arrêts cités).</w:t>
      </w:r>
    </w:p>
    <w:p>
      <w:r>
        <w:rPr>
          <w:b/>
        </w:rPr>
        <w:t>E. 5.5</w:t>
      </w:r>
    </w:p>
    <w:p>
      <w:r>
        <w:t>L’art. 6 CEDH n’est pas applicable à la procédure de rappel d’impôt, mais son volet pénal l’est à la procédure – pénale – en soustraction d’impôt (ATF 140 I 68 consid. 9.2 ; arrêt du Tribunal fédéral 2C_503/2022 du 22 mars 2023 consid. 2).</w:t>
      </w:r>
    </w:p>
    <w:p>
      <w:r>
        <w:rPr>
          <w:b/>
        </w:rPr>
        <w:t>E. 5.6</w:t>
      </w:r>
    </w:p>
    <w:p>
      <w:r>
        <w:t>En l’occurrence, il est constant que la société a été définitivement sanctionnée pour soustraction consommée au sens de l’art. 175 LIFD, si bien que la complicité à cette infraction peut également être punissable. Reste à déterminer si les conditions de la complicité au sens de l’art. 177 LIFD sont réalisées dans le cas d’espèce. Dans la décision entreprise, le TAPI a retenu que si le contribuable était le directeur financier de la société jusqu’en 2011 inclus, tel n’était plus le cas dès février 2012. Il n’était dès lors pas possible de retenir qu’il en était organe pendant la période litigieuse, soit de 2012 à 2015. Il n’en était pas non plus le salarié. De plus, aucun élément du dossier ne permettait de retenir qu’il aurait par un quelconque acte concret contribué à la réalisation des infractions commises par la société, ce que l’AFC-GE ne prétendait d’ailleurs pas. Avec ce raisonnement, la juridiction précédente a omis de tenir compte du rôle prépondérant du contribuable dans le cadre des soustractions commises et tentées par la société. Contrairement à ce qu’elle a retenu, les pièces au dossier permettent de retenir que, par ses agissements, l’intéressé a favorisé la réalisation des infractions commises par la société. S’agissant d’abord du plan objectif, il ressort du dossier que, même après la radiation de sa fonction au registre du commerce, le contribuable a joué un rôle actif dans la société. En témoigne le fait que dans ses échanges datant de 2017 avec son précédent mandataire, I______, l’intéressé signait ses courriels en qualité de directeur financier de la société et bénéficiait d’une adresse de courriel électronique en lien avec la société. C’est également l’intimé qui a signé la dénonciation spontanée le 24 août 2017 et le courriel du 31 octobre 2017, confirmant « notre » accord pour une solution négociée avec l’AFC-GE. Il a également participé à l’entretien du 2 novembre 2017 dans les locaux de l’AFC-GE et rédigé un document intitulé « à qui de droit », par lequel il reconnaissait avoir commis des « erreurs ». Ces éléments conduisent à retenir qu’il a contribué, en tant qu’organe de fait et complice, à la réalisation des infractions commises et tentées par la société durant toute la période litigieuse. L’argument de l’intéressé, selon lequel les éléments invoqués en lien avec son attitude dans le cadre de la procédure de contrôle seraient dénués de pertinence, étant postérieurs à la commission des infractions, ne convainc pas. Par son document intitulé « à qui de droit » daté du 16 novembre 2017, l’intéressé a reconnu sa participation à la soustraction litigieuse puisque, se référant à « notre entreprise », il a relevé que, par leurs agissements, ils avaient « imaginé pouvoir constituer un capital retraite ». Ce faisant, il a admis que ses manquements étaient intervenus avant que le délit n’ait été achevé. On ne saurait ainsi considérer, comme semble le soutenir le contribuable, que sa participation ne serait plus punissable. Cette conclusion est du reste corroborée par les pièces au dossier qui font état de nombreux prélèvements sur le compte courant de la société de 2006 à 2019 contenant son nom ou sa signature, et dont en tout cas deux concernent des prélèvements en faveur du contribuable intimé pendant la période litigieuse. Or, ce dernier savait qu’en effectuant des retraits du compte bancaire de la société, il participait à un acte délictueux puisqu’il a lui-même reconnu, dans son document intitulé « à qui de droit », qu’il avait « imaginé pouvoir constituer un capital retraite de cette manière ». L’attestation de son épouse du 6 février 2024, selon laquelle l’ensemble des prélèvements avaient été effectués sur ses instructions, ne permet pas de revenir sur cette appréciation. Outre que ce document semble avoir été établi pour les besoins de la cause, il ne trouve aucun appui au dossier, étant rappelé que c’est le contribuable, et non son épouse, qui a participé à l’entretien de contrôle fiscal du 2 novembre 2017 dans les locaux de l’AFC-GE. Il avait ainsi tout loisir de faire valoir cet argument. S’ajoute à cela que, comme l’a pertinemment relevé la recourante, en négociant une quote-part de reprise s’agissant des frais de représentation, de téléphone et de véhicule, le contribuable a indirectement admis avoir remis pour la comptabilité de la société des frais à caractère manifestement privé datant de la période litigieuse et mentionnant expressément son nom. Il figure enfin en qualité de conducteur habituel de véhicules automobiles de la société, dont les assurances ont été établies par celle-ci durant la période litigieuse. Concernant les éléments subjectifs, il ressort des constatations de faits définitivement jugés dans l’arrêt du Tribunal fédéral 2C_733/2022 du 13 décembre 2022, que le contribuable, en sa qualité d’organe de fait, a recouru de manière intentionnelle à des mécanismes insolites visant à rendre opaque la situation économique réelle de la société, notamment ses charges commercialement justifiées. Pour parvenir à cette conclusion, le Tribunal fédéral s’est notamment fondé sur le recours par les organes de la société à la remise en espèces de sommes totalisant plus d’un million de francs à des prétendus prestataires, l’absence de corrélation entre la remise des montants et les attestations de reçus, l’absence de factures justifiant la remise des montants en cours d’année et la très faible documentation permettant de connaître l’activité déployée par lesdits prestataires. Il suit des considérants qui précèdent que le comportement de l’intimé réalise les conditions de la complicité à la soustraction fiscale consommée et tentée pour les périodes fiscales 2012 à 2015. Le recours doit donc être admis en ce qui concerne tant l’impôt fédéral direct que les impôts cantonaux et communaux. Le jugement querellé sera annulé en tant qu’il annule la décision sur réclamation et les bordereaux d’amende notifiés au contribuable et confirmé pour le surplus. La décision sur réclamation du 30 janvier 2023 relative aux bordereaux d’amende ICC et IFD 2012, 2013, 2014 et 2015 de l’intimé sera rétablie.</w:t>
      </w:r>
    </w:p>
    <w:p>
      <w:r>
        <w:rPr>
          <w:b/>
        </w:rPr>
        <w:t>E. 6</w:t>
      </w:r>
    </w:p>
    <w:p>
      <w:r>
        <w:t>Vu l’issue du litige, un émolument de procédure de CHF 1’000.- sera mis à la charge du contribuable, qui a conclu au rejet du recours (art. 87 al. 1 LPA). Aucune indemnité de procédure ne sera allouée, l’autorité recourante ayant recouru dans son propre intérêt et disposant de son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