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A/832/2014 vom 19. Mai 2015</w:t>
      </w:r>
    </w:p>
    <w:p>
      <w:r>
        <w:t>GE Cour de justice, 2015-05-19, FR</w:t>
      </w:r>
    </w:p>
    <w:p>
      <w:r>
        <w:rPr>
          <w:b/>
        </w:rPr>
        <w:t xml:space="preserve">Quelle: </w:t>
      </w:r>
      <w:r>
        <w:t>https://mcp.opencaselaw.ch/entscheid/ge_gerichte_A_832_2014</w:t>
      </w:r>
    </w:p>
    <w:p>
      <w:r>
        <w:t>FR: GE_GERICHTE A/832/2014 du 19 mai 2015</w:t>
      </w:r>
    </w:p>
    <w:p>
      <w:r>
        <w:t>IT: GE_GERICHTE A/832/2014 del 19 maggio 2015</w:t>
      </w:r>
    </w:p>
    <w:p>
      <w:pPr>
        <w:pStyle w:val="Heading2"/>
      </w:pPr>
      <w:r>
        <w:t>Erwägungen</w:t>
      </w:r>
    </w:p>
    <w:p>
      <w:r>
        <w:rPr>
          <w:b/>
        </w:rPr>
        <w:t>E. 1</w:t>
      </w:r>
    </w:p>
    <w:p>
      <w:r>
        <w:t>ère section dans la cause DÉPARTEMENT DE L'AMÉNAGEMENT, DU LOGEMENT ET DE L'ÉNERGIE contre A______ SA B______ SA Monsieur C______ D______ SA représentés par Régie Zimmermann SA _________ Recours contre le jugement du Tribunal administratif de première instance du 22 août 2014 ( JTAPI/893/2014 ) EN FAIT 1) A______ SA a notamment pour but le commerce, la construction et la gérance de tous immeubles.![endif]&gt;![if&gt; 2) B______ SA a pour but le commerce, la construction et l’exploitation de tous immeubles, ainsi que toutes prises de participation.![endif]&gt;![if&gt; 3) D______ SA a pour but l’étude, la promotion et la réalisation de projets, principalement dans le domaine immobilier. ![endif]&gt;![if&gt; 4) A______ SA, B______ SA, D______ SA et Monsieur C______ (ci-après : les copropriétaires) sont copropriétaires de la parcelle n° 1______ (ci-après : la parcelle) de la commune de Genève-Plainpalais (ci-après : la commune) sur laquelle sont érigés les immeubles sis au ______ (ci-après : les immeubles).![endif]&gt;![if&gt; 5) Le 9 décembre 2009, les copropriétaires ont déposé une demande d’autorisation de construire portant sur la surélévation des immeubles dans le but de créer quarante-deux logements. Cette demande d’autorisation a été enregistrée sous les références n° DD 2______ (ci-après : projet I).![endif]&gt;![if&gt; 6) Le 19 juillet 2011, les copropriétaires ont déposé une nouvelle demande d’autorisation de construire portant sur la surélévation de l’immeuble sis ______dans le but de créer quatre appartements supplémentaires. Cette demande d’autorisation a été enregistrée sous les références n° DD 3______ (ci-après : projet II). ![endif]&gt;![if&gt; 7) Le 19 juin 2013, le département de l’urbanisme, devenu depuis le département de l’aménagement, du logement et de l’énergie (ci-après : le DALE ou le département) a autorisé le projet II. ![endif]&gt;![if&gt; 8) Le 12 décembre 2013, les copropriétaires ont signé, pour accord, les formulaires intitulés : « Conditions d’application des normes de la zone de développement », établis par le département, indiquant que la taxe d’équipement publique était arrêtée à CHF 126'200.96 (2'692 m</w:t>
      </w:r>
    </w:p>
    <w:p>
      <w:r>
        <w:rPr>
          <w:b/>
        </w:rPr>
        <w:t>E. 2</w:t>
      </w:r>
    </w:p>
    <w:p>
      <w:r>
        <w:t>de surface brute de plancher à créer, visé à l'alinéa 2, est adapté à l'indice suisse des prix de la construction applicable à la région lémanique à compter du 1 er janvier 2004, lors de chaque écart égal ou supérieur de 5 % (art. 11 al. 5 RGZD). Lorsque le montant total des frais d'équipement publics nécessités par la réalisation du PLQ considéré est connu et résulte du crédit que la commune intéressée est tenue d’adopter en vue du financement des travaux nécessaires, la taxe d'équipement est calculée différemment. Lorsque ces deux conditions cumulatives sont réalisées, son montant correspond à 75 % du total de ces frais pour l'ensemble des constructions et installations prévues par ce plan. La taxe est répartie entre les différents propriétaires concernés proportionnellement aux surfaces brutes de plancher, telles qu’elles résultent du tableau de répartition des droits à bâtir afférent au PLQ considéré (art. 11 al. 3 RGZD). 5) La doctrine considère que l'art. 19 al. 2 LAT contient un mandat législatif. Les cantons doivent adopter un système dans lequel les propriétaires fonciers contribuent de manière adéquate aux frais d'équipement. La mise à disposition de voies d'accès, d'égouts ainsi que de conduites d'alimentation représente, pour les propriétaires des terrains équipés, un avantage particulier de nature économique, car cela leur permet de requérir une autorisation de construire. C'est pourquoi on peut considérer que l'art. 19 al. 2 LAT vise surtout les contributions de plus-value. Comme les charges de préférence ou contributions de plus-value peuvent être perçues au moment où les installations d'équipement sont disponibles, soit avant le raccordement effectif, cette mesure fiscale sert à la réalisation des plans d'affectation. En effet, elle encourage l'occupation des zones à bâtir et l'utilisation des terrains non bâtis, car les propriétaires chercheront en principe à rentabiliser les frais qu'ils ont supportés (André JOMINI, in Commentaire de la loi fédérale sur l'aménagement du territoire, 1999, art. 19). ![endif]&gt;![if&gt; L'avantage économique retiré par chaque bénéficiaire d'un service public étant souvent difficile, voire impossible à déterminer en pratique, la jurisprudence admet que les taxes d'utilisation soient établies de manière schématique et tiennent compte de normes fondées sur des situations moyennes et faciles à utiliser. Les contributions doivent être établies selon des critères objectifs et s'abstenir de créer des différences qui ne se justifieraient pas par des motifs pertinents (ATF 126 I 180 consid. 3a/bb p. 188 ; 122 I 279 consid. 6c p. 289 et les arrêts cités). Malgré leur schématisme, l'autorité de taxation ne pourra, par égard au principe d'égalité, pas se départir de tels critères (arrêt du Tribunal fédéral 2C_847/2008 du 8 septembre 2009 consid. 2.2 et 2.3), à moins que ceux-ci aboutissent, dans un cas particulier, à des résultats insoutenables, ou créent des différences ne reposant pas sur des motifs raisonnables (ATF 125 I 1 consid. 2b/bb p. 5 et les références citées). 6) En l'espèce, les copropriétaires contestent devoir une taxe d’équipement au motif qu’il n’existe pas de PLQ. ![endif]&gt;![if&gt; La chambre de céans a déjà jugé que l’existence d’un tel plan n’était pas une condition nécessaire à la perception d’une taxe d’équipement, du fait que les conditions de l’art. 11 al. 3 LGZD sont cumulatives et que l’art. 11 al. 3 RGZD est inapplicable en l’absence de PLQ ( ATA/130/2015 du 3 février 2015). En effet, si cette absence est liée, comme ici, à l’existence d’un quartier de développement déjà fortement urbanisé (art. 2 al. 2 let. c LGZD), cela implique que l’équipement est déjà existant et donc qu’un plan localisé est superflu pour le prévoir. En l’absence de PLQ, il y a lieu d'appliquer la méthode habituelle de calcul pour la taxe d'équipement, soit la méthode du calcul forfaitaire, prévue à l’art. 11 al. 2 RGZD. Le grief est infondé. 7) Les recourants tiennent grief au bordereau litigieux de violer l’art. 11 al. 3 RGZD, le terrain concerné étant déjà équipé. Aucune taxe d’équipement ne serait exigible.![endif]&gt;![if&gt; Dans un arrêt récent, la chambre de céans a jugé que lorsqu'aucun équipement public ne devait être réalisé par la collectivité publique, la zone sur laquelle le projet de construction était prévu ayant déjà été équipée, il y avait lieu d'appliquer la méthode habituelle de calcul pour la taxe d'équipement, soit la méthode du calcul forfaitaire de l’art. 11 al. 2 RGZD ( ATA/921/2014 du 25 novembre 2014). Comme le relève à juste titre le département, appliquer l'art. 11 al. 3 RGZD serait source de nombreux litiges au sujet des coûts des équipements déjà réalisés, de la zone à prendre en considération et des taxes déjà perçues. Elle mènerait aussi à une inégalité de traitement puisque le premier propriétaire devrait payer des coûts élevés alors que le dernier n'aurait à s'acquitter que d'une taxation réduite, les alentours étant déjà équipés. Le grief est infondé. 8) Se pose la question de la bonne foi des sociétés.![endif]&gt;![if&gt; Le 12 décembre 2013, les coproprétaires ont signé pour accord les formulaires intitulés « Conditions d’application des normes de la zone de développement » établis par le département, indiquant que la taxe d’équipement public était arrêtée à CHF 126'200.96, avant de recourir ensuite auprès du TAPI contre cette facture. Les organes de l’État et les particuliers doivent agir de manière conforme aux règles de la bonne foi (art. 5 al. 3 de la Constitution fédérale de la Confédération suisse du 18 avril 1999 - Cst. - RS 101). En signant les formulaires uniquement pour obtenir les autorisations sollicitées, puis en recourant contre la facture, les copropriétaires ont manifestement violé le principe de la bonne foi. En effet, dès la signature dudit document, le DALE était en droit de considérer le montant de la facture comme accepté ( ATA/921/2014 précité). 9) Partant, la facture du département des 31 décembre 2013, adressée aux copropriétaires, liée à l'autorisation de construire, d'un montant de CHF 126'200.96, relative à la taxe d'équipement public est conforme à la loi, notamment au regard de l'art. 11 al. 2 RGZD.![endif]&gt;![if&gt; 10) Le recours des copropriétaires est rejeté. Celui du département est admis.![endif]&gt;![if&gt; Vu l’issue du litige, un émolument de CHF 2’000.- sera mis à la charge conjointe et solidaire des copropriétaires, qui succombent (art. 87 al. 1 LPA), et aucune indemnité de procédure ne sera allouée (art. 87 al. 2 LPA). L’autorité qui recourt contre une décision du TAPI est exemptée des frais de procédure et émolument (art. 12 al. 2 du règlement sur les frais, émoluments et indemnités en procédure administrative du 30 juillet 1986 - RFPA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