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A/829/2022 vom 22. Dezember 2023</w:t>
      </w:r>
    </w:p>
    <w:p>
      <w:r>
        <w:t>GE Cour de justice, 2023-12-22, FR</w:t>
      </w:r>
    </w:p>
    <w:p>
      <w:r>
        <w:rPr>
          <w:b/>
        </w:rPr>
        <w:t xml:space="preserve">Quelle: </w:t>
      </w:r>
      <w:r>
        <w:t>https://mcp.opencaselaw.ch/entscheid/ge_gerichte_A_829_2022</w:t>
      </w:r>
    </w:p>
    <w:p>
      <w:r>
        <w:t>FR: GE_GERICHTE A/829/2022 du 22 décembre 2023</w:t>
      </w:r>
    </w:p>
    <w:p>
      <w:r>
        <w:t>IT: GE_GERICHTE A/829/2022 del 22 dicembre 2023</w:t>
      </w:r>
    </w:p>
    <w:p>
      <w:pPr>
        <w:pStyle w:val="Heading2"/>
      </w:pPr>
      <w:r>
        <w:t>Erwägungen</w:t>
      </w:r>
    </w:p>
    <w:p>
      <w:r>
        <w:rPr>
          <w:b/>
        </w:rPr>
        <w:t>E. 1</w:t>
      </w:r>
    </w:p>
    <w:p>
      <w:r>
        <w:t>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w:t>
      </w:r>
    </w:p>
    <w:p>
      <w:r>
        <w:rPr>
          <w:b/>
        </w:rPr>
        <w:t>E. 3</w:t>
      </w:r>
    </w:p>
    <w:p>
      <w:r>
        <w:t>Le recours, interjeté dans les forme et délai prévus par la loi (art. 56ss LPGA), est recevable.![endif]&gt;![if&gt;</w:t>
      </w:r>
    </w:p>
    <w:p>
      <w:r>
        <w:rPr>
          <w:b/>
        </w:rPr>
        <w:t>E. 4</w:t>
      </w:r>
    </w:p>
    <w:p>
      <w:r>
        <w:t>Le litige porte sur le droit aux prestations pour accident dès le 1 er avril 2021. ![endif]&gt;![if&gt;</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w:t>
      </w:r>
    </w:p>
    <w:p>
      <w:r>
        <w:rPr>
          <w:b/>
        </w:rPr>
        <w:t>E. 6</w:t>
      </w:r>
    </w:p>
    <w:p>
      <w:r>
        <w:t>Les prestations que l’assureur-accidents doit, le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suite de l’accident d'une atteinte importante et durable à son intégrité physique, mentale ou psychique (art. 24 al. 1 LAA).![endif]&gt;![if&gt;</w:t>
      </w:r>
    </w:p>
    <w:p>
      <w:r>
        <w:rPr>
          <w:b/>
        </w:rPr>
        <w:t>E. 7</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conséquence.![endif]&gt;![if&gt; Le droit au traitement médical et aux indemnités journalières cesse dès la naissance du droit à la rente (art. 19 al. 1 2 ème phr. LAA). À teneur de l’art. 19 al. 1 1 ère phr. LAA, le droit à la rente prend naissance dès qu’il n’y a plus lieu d’attendre de la continuation du traitement médical une sensible amélioration de l’état de l’assuré et que les éventuelles mesures de réadaptation de l’assurance-invalidité ont été menées à terme. La loi ne précise pas ce qu'il faut entendre par « une sensible amélioration de l'état de l'assuré ». Eu égard au fait que l'assurance-accidents est avant tout destinée aux personnes exerçant une activité lucrative ( cf .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Des avancées mineures ne suffisent pas (arrêt du Tribunal fédéral 8C_685/2019 du 9 juin 2020 consid. 4). En matière de physiothérapie, le Tribunal fédéral a précisé que le bénéfice que peut amener la physiothérapie ne fait pas obstacle à la clôture du cas (arrêt du Tribunal fédéral 8C_39/2018 du 11 juillet 2018 et les références)</w:t>
      </w:r>
    </w:p>
    <w:p>
      <w:r>
        <w:rPr>
          <w:b/>
        </w:rPr>
        <w:t>E. 8</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(arrêt du Tribunal fédéral 8C_482/2014 du 6 mai 2015 consid. 3).![endif]&gt;![if&gt;</w:t>
      </w:r>
    </w:p>
    <w:p>
      <w:r>
        <w:rPr>
          <w:b/>
        </w:rPr>
        <w:t>E. 9</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9.1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1c).![endif]&gt;![if&gt;</w:t>
      </w:r>
    </w:p>
    <w:p>
      <w:r>
        <w:rPr>
          <w:b/>
        </w:rPr>
        <w:t>E. 9.2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3b/bb).![endif]&gt;![if&gt;</w:t>
      </w:r>
    </w:p>
    <w:p>
      <w:r>
        <w:rPr>
          <w:b/>
        </w:rPr>
        <w:t>E. 9.3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3.2).![endif]&gt;![if&gt;</w:t>
      </w:r>
    </w:p>
    <w:p>
      <w:r>
        <w:rPr>
          <w:b/>
        </w:rPr>
        <w:t>E. 10</w:t>
      </w:r>
    </w:p>
    <w:p>
      <w:r>
        <w:t>En l’espèce, l’intimée s’est fondée sur l’avis du Dr F______ pour mettre un terme au versement des indemnités journalières et au remboursement des soins médicaux au 31 mars 2021.![endif]&gt;![if&gt; L’appréciation de ce médecin du 2 décembre 2020 ne peut toutefois se voir reconnaître valeur probante. En premier lieu, dans la mesure où il admet la prise en charge d’un médicament, de l’ergothérapie et de la physiothérapie destinées à la désensibilisation et censées améliorer l’état de santé de la recourante, on peut douter de la stabilisation de l’état de santé à cette date – que ce médecin avait du reste déjà admise dans un premier avis en octobre 2020, consistant uniquement en cette mention, nullement motivée et émise sans examen de la recourante. De plus, le Dr F______ écarte le diagnostic de CRPS, affirmant qu’il serait ambigu selon le Dr E______. Si la note de consultation de ce médecin du 7 mai 2020 était effectivement contradictoire et équivoque, dans la mesure où il retenait un CRPS tout en excluant un SRDC – alors que ces termes désignent la même atteinte en anglais et français respectivement ( cf . sur ce point (https://www.msdmanuals.com/professional/neurologic-disorders/pain/complex-regional-pain-syndrome-crps), le médecin traitant a néanmoins admis – à l’instar du reste des médecins de la CRR – une telle atteinte dans toutes ses autres notes, notamment en septembre 2020 et en février 2021, date à laquelle ce syndrome était encore en phase chaude. Deux autres notes de consultation des HUG ont également rapporté cette atteinte en mai et juillet 2021. L’appréciation du médecin d’arrondissement sur ce point est ainsi en contradiction avec celles des autres médecins, et elle est insuffisamment motivée pour écarter tout doute quant à la persistance d’un SRDC et ses éventuelles répercussions sur la capacité de travail de la recourante. Ce seul élément suffit déjà à écarter l’avis du Dr F______. Pour le surplus, on peine à comprendre comment le médecin d’arrondissement peut écarter les douleurs en affirmant qu’elles sont d’origine acromio-claviculaire, alors que la recourante rapporte bien des douleurs à la main. Sur ce point, le Dr D______ évoquait du reste déjà en janvier 2020 que la lésion du nerf médian était apte à entraîner des douleurs persistantes. La recourante présente également une allodynie, sans que le Dr F______ – qui a admis cette atteinte en juillet 2021 – ne paraisse en tenir compte dans l’exigibilité qu’il a retenue. Enfin, il paraît délicat d’admettre, comme il l’a fait, que des activités exigeant une motricité fine restent possibles malgré l’allodynie et les dysesthésies de la main dominante. On rappellera également que selon les médecins de la CRR, les plaintes et les limitations fonctionnelles s’expliquaient principalement par les lésions objectivement constatées, alors que le Dr F______ affirme désormais que les dysesthésies ne seraient que « subjectivement » reliées à l’allodynie. Or, la réalité de cette atteinte n’est pas contestée, et il aurait été utile que le médecin d’arrondissement indique comment il peut exclure que ces phénomènes lui soient imputables. Enfin, comme le souligne à juste titre la recourante, l’appréciation du Dr F______ ne semble pas établie en fonction d’investigations complètes, puisqu’il ne disposait pas d’un ENMG, pourtant opportun selon lui. En ce qui concerne l’indemnité pour atteinte à l'intégrité, s’il n’existe aucun avis médical fixant un autre taux, on peut s’interroger sur le fait que le Dr F______ ait réduit de moitié l’indemnité prévue, notamment au motif que les phénomènes seraient « gênants ». Faute de plus ample motivation par le médecin d’arrondissement, on ne voit en effet pas en quoi il s’agirait là d’un facteur réducteur du taux d’indemnisation. Partant, l’avis du Dr F______ ne suffit pas à trancher le droit aux prestations de la recourante. L’OAI n’a quant à lui pas procédé à une instruction autonome. Le fait que le Dr I______ ait complété les limitations fonctionnelles en excluant les travaux exigeant la motricité fine ne suffit pas à pallier les autres lacunes de l’avis du médecin d’arrondissement de la SUVA. Au plan uniquement somatique, le SMR n’a du reste pas tenu compte des problèmes de l’épaule dont la SUVA affirme ne pas répondre, ni de l’enchondrome.</w:t>
      </w:r>
    </w:p>
    <w:p>
      <w:r>
        <w:rPr>
          <w:b/>
        </w:rPr>
        <w:t>E. 11</w:t>
      </w:r>
    </w:p>
    <w:p>
      <w:r>
        <w:t>Au vu de ce qui précède, la chambre de céans n’est pas en mesure de trancher le fond du litige. ![endif]&gt;![if&gt; Lorsque le juge des assurances sociales constate qu'une instruction est nécessaire, il doit en principe mettre lui-même en œuvre une expertise (ATF 137 V 210 consid. 4.4.1.3 et 4.4.1.4). En l’espèce, elle sera confiée au Dr J______. Quand bien même cet expert n’est pas chirurgien de la main, sa spécialité en chirurgie orthopédique lui permettra de se prononcer sur les atteintes de la recourante – incluant l’arthrose acromio-claviculaire. On note du reste que le Dr F______, sur l’avis duquel l’intimée s’est pourtant fondée, n’est pas non plus spécialiste en chirurgie de la main. PAR CES MOTIFS, LA CHAMBRE DES ASSURANCES SOCIALES : Statuant préparatoirement A. Ordonne une expertise orthopédique, l’expert ayant pour mission d’examiner et d’entendre la recourante, après s’être entouré de tous les éléments utiles et après avoir pris connaissance du dossier de l’intimée (SUVA), ainsi que du dossier de la présente procédure en s’entourant d’avis de tiers au besoin. ![endif]&gt;![if&gt; B. Charge l’expert de répondre aux questions suivantes : ![endif]&gt;![if&gt; 1.        Anamnèse.![endif]&gt;![if&gt; 2.        Données subjectives de la personne.![endif]&gt;![if&gt; 3.        Constatations objectives.![endif]&gt;![if&gt; 4.        Diagnostic(s).![endif]&gt;![if&gt; 5.        S'agissant des troubles orthopédiques, répondre aux questions suivantes :![endif]&gt;![if&gt; a. La recourante présente-t-elle des troubles orthopédiques? Si oui, depuis quand ? b. Les plaintes de la recourante sont-elles objectivées du point de vue médical? c. Quelles sont les limitations fonctionnelles dues à chaque diagnostic? 6.        Mentionner, pour chaque diagnostic posé, ses conséquences sur la capacité de travail de la recourante dans l’activité habituelle, en pourcent.![endif]&gt;![if&gt; 7.        Mentionner globalement les conséquences des divers diagnostics retenus sur la capacité de travail de la recourante, en pourcent.![endif]&gt;![if&gt; 8.        Évaluer l'exigibilité, en pourcent, d'une activité lucrative adaptée, son évolution dans le temps, et indiquer le domaine d'activité adapté.![endif]&gt;![if&gt; 9.        Mentionner, pour chaque diagnostic posé, ses conséquences sur la capacité de travail de la recourante dans l’activité adaptée, en pourcent.![endif]&gt;![if&gt; 10.    Dire s'il y a une diminution de rendement dans une activité adaptée et la chiffrer.![endif]&gt;![if&gt; 11.    Évaluer les chances de succès d’une réadaptation professionnelle.![endif]&gt;![if&gt; 12.    Évaluer la possibilité d'améliorer la capacité de travail par des mesures médicales.![endif]&gt;![if&gt; 13.    Commenter et discuter les avis médicaux du SMR, des médecins de la CRR, du docteur F______ et des médecins traitants et exposer le cas échéant pour quels motifs ceux-ci sont écartés. ![endif]&gt;![if&gt; 14.    Formuler un pronostic global.![endif]&gt;![if&gt; 15.    Toute remarque utile et proposition de l’expert.![endif]&gt;![if&gt; 16.    Répondre aux questions suivantes, qui concernent uniquement la cause opposant la recourante à l’intimée :![endif]&gt;![if&gt; a. l’accident du 30 novembre 2018 est-il la cause unique ou une cause partielle (« conditio sine qua non ») des atteintes de la recourante? Plus précisément, le lien de causalité avec l’accident est-il possible (moins de 50% dû à l’accident), probable (plus de 50% dû à l’accident) ou certain (100% dû à l’accident) ? Détailler la réponse pour chacune des atteintes. b. Indiquer à quelle date l’état de santé était stabilisé pour les atteintes en relation de causalité avec l’accident. Dans ce cadre, déterminer le traitement médical approprié de ces atteintes, en précisant si ce traitement permettrait une amélioration notable de son état de santé et de la capacité de travail, et à partir de quelle date. c. Le cas échéant, à partir de quand les atteintes sans lien de causalité avec l’accident sont-elles devenues ou deviennent-elles, au degré de la vraisemblance prépondérante, les seules causes influant sur l’état de santé (« statu quo sine » ou « statu quo ante » atteint) ? d. Indiquer si l’atteinte due à l’accident constitue une atteinte à l’intégrité physique durable ? Si oui, de quel taux ? Prière de motiver l’appréciation en référence aux tables concernant les atteintes à l’intégrité selon la LAA de la SUVA. C. Commet à ces fins le docteur J______.![endif]&gt;![if&gt; D. Invite l’expert à déposer à sa meilleure convenance un rapport en quatre exemplaires à la chambre de céans.![endif]&gt;![if&gt; E. Réserve le fond.![endif]&gt;![if&gt; La greffière Véronique SERAIN Le président Philippe KNUPFER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