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A/829/2011 vom 21. April 2011</w:t>
      </w:r>
    </w:p>
    <w:p>
      <w:r>
        <w:t>GE Cour de justice, 2011-04-21, FR</w:t>
      </w:r>
    </w:p>
    <w:p>
      <w:r>
        <w:rPr>
          <w:b/>
        </w:rPr>
        <w:t xml:space="preserve">Quelle: </w:t>
      </w:r>
      <w:r>
        <w:t>https://mcp.opencaselaw.ch/entscheid/ge_gerichte_A_829_2011</w:t>
      </w:r>
    </w:p>
    <w:p>
      <w:r>
        <w:t>FR: GE_GERICHTE A/829/2011 du 21 avril 2011</w:t>
      </w:r>
    </w:p>
    <w:p>
      <w:r>
        <w:t>IT: GE_GERICHTE A/829/2011 del 21 aprile 2011</w:t>
      </w:r>
    </w:p>
    <w:p>
      <w:pPr>
        <w:pStyle w:val="Heading2"/>
      </w:pPr>
      <w:r>
        <w:t>Volltext</w:t>
      </w:r>
    </w:p>
    <w:p>
      <w:r>
        <w:t>Genève Cour de justice (Cour de droit public) Chambre administrative 21.04.2011 A/829/2011</w:t>
      </w:r>
    </w:p>
    <w:p>
      <w:r>
        <w:t>A/829/2011 ATA/262/2011 du 21.04.2011 ( DELIB ) , ACCORDE Parties : VILLE DE GENEVE / CONSEIL D'ETAT RÉPUBLIQUE ET CANTON DE GENÈVE POUVOIR JUDICIAIRE A/829/2011-DELIB ATA/262/2011 COUR DE JUSTICE Chambre administrative Décision du 21 avril 2011 sur effet suspensif dans la cause VILLE DE GENÈVE contre CONSEIL D'éTAT Vu la délibération du conseil municipal de la Ville de Genève du 14 décembre 2011 ; vu l'arrêté du Conseil d'Etat du 16 février 2011 n'approuvant que partiellement cette délibération ; vu le recours interjeté par la Ville de Genève contre l'arrêté précité le 21 mars 2011, assorti d'une « requête d'effet suspensif urgent » vu les observations du Conseil d'Etat du 15 avril 2011 concluant à la constatation d'un effet suspensif « ex lege » ; Vu l'art. 66 de la loi sur la procédure administrative du 12 septembre 1985 (LPA - E 5 10), selon lequel sauf disposition légale contraire, le recours a effet suspensif à moins que l’autorité qui a pris la décision attaquée n’ait ordonné l’exécution nonobstant recours ; vu l'absence d'utilisation de cette prérogative par le Conseil d'Etat en l'espèce ; vu l’art. 7 al. 1 du règlement de la chambre administrative du 21 décembre 2010 ; LA CHAMBRE ADMINISTRATIVE constate l’effet suspensif « ex lege » du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 Ville de Genève ainsi qu'au Conseil d'Etat. La présidente siégeant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