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A/825/2010 vom 2. Februar 2011</w:t>
      </w:r>
    </w:p>
    <w:p>
      <w:r>
        <w:t>GE Cour de justice, 2011-02-02, FR</w:t>
      </w:r>
    </w:p>
    <w:p>
      <w:r>
        <w:rPr>
          <w:b/>
        </w:rPr>
        <w:t xml:space="preserve">Quelle: </w:t>
      </w:r>
      <w:r>
        <w:t>https://mcp.opencaselaw.ch/entscheid/ge_gerichte_A_825_2010</w:t>
      </w:r>
    </w:p>
    <w:p>
      <w:r>
        <w:t>FR: GE_GERICHTE A/825/2010 du 2 février 2011</w:t>
      </w:r>
    </w:p>
    <w:p>
      <w:r>
        <w:t>IT: GE_GERICHTE A/825/2010 del 2 febbraio 2011</w:t>
      </w:r>
    </w:p>
    <w:p>
      <w:pPr>
        <w:pStyle w:val="Heading2"/>
      </w:pPr>
      <w:r>
        <w:t>Erwägungen</w:t>
      </w:r>
    </w:p>
    <w:p>
      <w:r>
        <w:rPr>
          <w:b/>
        </w:rPr>
        <w:t>E. 2</w:t>
      </w:r>
    </w:p>
    <w:p>
      <w:r>
        <w:t>Les actions en recouvrement de créances se prescrivent par cinq ans quand elles portent sur des cotisations ou des prestations périodiques, par dix ans dans les autres cas. Les art. 129 à 142 du code des obligations sont applicables. » b) Jusqu’au 31 décembre 2004, la LPP ne prévoyait pas de disposition particulière sur la prescription des prétentions de l’assuré en matière prévoyance plus étendue. Toutefois, dans un arrêt du 29 novembre 1991, publié aux ATF 117 V 329 , le Tribunal fédéral a eu l’occasion de préciser que dans la prévoyance obligatoire comme dans la prévoyance plus étendue, les créances de l'affilié étaient soumises à un délai de prescription de cinq ans quand elles portaient sur des prestations périodiques et de dix ans dans les autres cas. Cette solution, consacrée par l'art. 41 al. 1 LPP, s'inspirait directement des art. 127 et 128 CO, qui étaient, quant à eux, applicables à la prévoyance plus étendue (RIEMER, Das Recht der beruflichen Vorsorge in der Schweiz, p. 104, n. 20; message précité, FF 1976 I 219 ). Ainsi, dans le cas d'une rente d'invalidité, chacun des arrérages se prescrivait par cinq ans, alors que le droit de percevoir les rentes comme tel se prescrivait dans le délai ordinaire de dix ans (cf. ATF 111 II 501 ). Depuis le 1 er janvier 2005, l’art. 49 al. 2 LPP, applicable en matière de prévoyance plus étendue, renvoie à l’art. 41 LPP pour ce qui a trait à la prescription. c)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132 V 159 consid. 2 p. 161, 131 V 425 consid. 5.2 p. 42, 111 II 193 , 107 Ib 198 consid. 7b/aa p. 203, 102 V 206 consid. 2 p. 207; Rhinow/Krähenmann, Schweizerische Verwaltungsrechtsprechung, Ergänzungsband, no 15 B III d p. 45; Gadola, Verjährung und Verwirkung im öffentlichen Recht, in : PJA 1/95, p. 58). d) L'exigibilité d'une prestation de la prévoyance professionnelle se situe lors de la naissance du droit à ladite prestation selon les dispositions légales et réglementaires qui lui sont applicables (ATF 126 V 263 consid. 3a, 117 V 308 consid. 2c; cf. aussi ATF 124 V 276 ). e) S’agissant de l’interruption de la prescription, le Tribunal fédéral des assurances a rappelé (arrêts non publiés du 16 octobre 2006, B 55/06 et du 18 août 2006, B 53/06) que le droit public admet de façon plus large que le droit privé des actes interruptifs du créancier, en ce sens que le délai de prescription est interrompu – outre par les moyens mentionnés par l’art. 135 CO – par tout acte par lequel celui-ci fait valoir sa prétention de manière appropriée à l’égard du débiteur (voir GADOLA, op. cit., pp. 47 ss ; BRACONI, Prescription et péremption dans l’assurance sociale, in Droit privé et Assurances sociales, Fribourg 1990, p. 232 ; MOOR, Droit administratif, vol. II, p. 54). Toutefois, en matière de prévoyance professionnelle, les institutions de prévoyance ne sont pas habilitées à rendre de décision à l’égard de leurs affiliés. Elles doivent –comme les ayants droit ou les employeurs – faire valoir leurs droits par voie d’action pour les litiges visés par l’art. 73 LPP (ATF 115 V 229 consid. 2) et sont, sous cet angle, soumises aux mêmes exigences que les créanciers de droit privé. Il faut encore relever qu’en matière de prévoyance professionnelle, l’art. 41 al. 2 LPP, relatif à la prescription des actions en recouvrement de créances de cotisations ou de prestations périodiques, renvoie explicitement aux art. 129 à 142 CO.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 cf. également l’ATF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Dans le cas d’espèce, la Chambre de céans relève tout d’abord que lors de l’entrée en vigueur de la version actuelle de l’art. 41 LPP, le 1 er janvier 2005, les rentes réclamées par la demanderesse n’étaient pas encore prescrites. En effet, elle aurait pu prétendre au versement d’une rente d’invalidité, pour autant que les autres conditions légales soient remplies, dès le 3 décembre 2001 de sorte que la prescription aurait été acquise le 3 décembre 2006 s’agissant de la rente la plus ancienne. Ainsi, conformément à la jurisprudence fédérale (voir ATF 132 V 159 consid. 2 p. 161, 131 V 425 consid. 5.2 p. 42, 111 II 193 , 107 Ib 198 consid. 7b/aa p. 203, 102 V 206 consid. 2 p. 207), la prescription doit s’examiner au regard de la nouvelle teneur de l’art. 41 LPP, en vigueur depuis le 1 er janvier 2005. Concernant la période du 3 décembre 2001 au 31 août 2002, force est de constater que les prétentions de la demanderesse, relevant tant de la prévoyance obligatoire que de la prévoyance plus étendue, sont prescrites. En effet, celles-ci sont soumises à la prescription de 5 ans et selon l’art. 135 CO, l’assurée aurait dû faire valoir ses droits en déposant une poursuite, une citation en conciliation, en ouvrant une action ou en soulevant une exception devant un tribunal. Tel n’ayant pas été le cas avant le dépôt de la demande le 10 mars 2010, le droit à une éventuelle rente d’invalidité pour la période du 3 décembre 2001 au 31 août 2002 s’est prescrit entre le 3 décembre 2006 et le 31 août 2007. La position de la demanderesse, qui estime qu’étant représentée par un avocat, elle n’avait aucune démarche à entreprendre ce d’autant plus que la décision de l’OAI du 13 août 2008 avait été notifiée à la fondation, ne saurait être suivie. En effet, en raison du renvoi pur et simple aux dispositions du code des obligations, il n’y a pas de place pour une règlementation plus large en matière de prescription. Les prétentions de la demanderesse concernant la période du 3 décembre 2001 au 31 août 2002 étant prescrites, il n’y a pas lieu d’examiner les autres moyens de défense de la défenderesse, soit les questions de l’inopposabilité et du caractère manifestement insoutenable de la décision de l’OAI. En effet, que la Chambre de céans admette ou rejette ces griefs, la prescription est quoi qu’il en soit acquise. En ce qui concerne la période du 1 er septembre 2002 au 31 décembre 2006, la défenderesse oppose à la demande en paiement de l’assurée le taux d’invalidité insuffisant pour ouvrir le droit aux prestations et la prescription des arrérages, s’agissant tant de la prévoyance obligatoire que de la prévoyance plus étendue. Force est tout d’abord de constater que les rentes d’invalidité réclamées pour la période du 1 er septembre 2002 au 9 mars 2005, en vertu de la prévoyance tant obligatoire que plus étendue, sont prescrites, le délai de cinq ans pour introduire une poursuite ou une action ayant expiré sans avoir été utilisé. Seule se pose ainsi la question du bien-fondé des rentes pour la période du 10 mars 2005 au 31 décembre 2006. a) Comme cela a été relevé ci-dessus, l’art. 23 LPP, applicable en matière de prévoyance obligatoire, stipule que seules les personnes invalides à raison de 50% jusqu’au 31 décembre 2004, et de 40% depuis le 1 er janvier 2005 et qui étaient assurées lorsqu’est survenue l’incapacité de travail dont la cause est à l’origine de l’invalidité ont droit aux prestations d’invalidité. La LPP ne définit pas la notion d'invalidité, mais elle se borne à renvoyer, sur ce point, aux dispositions de la LAI (voir aussi l'art. 1er al. 1 let. d et l'art. 4 de l’ordonnance du 18 avril 1984 sur la prévoyance professionnelle vieillesse, survivants et invalidité - OPP 2, RS 831.441.1). De même, elle ne contient aucune disposition à propos de la naissance du droit à la rente. En effet, l'art. 26 al. 1 LPP déclare à ce sujet applicable, par analogie, l'art. 29 LAI. Dans un arrêt publié aux ATF 123 V 269 , le Tribunal fédéral a rappelé qu’en matière de prévoyance professionnelle obligatoire, il existait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Viret, L'invalidité dans la prévoyance professionnelle selon la jurisprudence du Tribunal fédéral des assurances, RSA 1997 p. 103; Greber, Les prestations relatives à l'invalidité servies par d'autres régimes que l'AI, in: Cahiers genevois de sécurité sociale 1988, no 3/4, p. 74; Moser, Die Zweite Säule und ihre Tragfähigkeit, thèse Bâle 1992, p. 189). La notion d'invalidité est la même dans les deux cas: elle représente la diminution permanente ou de longue durée, résultant d'une atteinte à la santé assurée, des possibilités de gain sur le marché du travail équilibré qui entre en ligne de compte pour l'intéressé. C'est pourquoi l'institution de prévoyance est en principe liée, lors de la survenance du fait assuré, par l'estimation de l'invalidité par les organes de l'assurance-invalidité (ATF 120 V 108 sv. consid. 3c, ATF 118 V 40 consid. 2b/aa, ATF 115 V 210 consid. 2b et 212 consid. 2c, 218 consid. 4b et 220 sv. consid. 4c). Cette force contraignante vaut aussi quand il s'agit de déterminer le moment de la naissance du droit à la rente (ATF 118 V 39 sv. consid. 2b/aa, ATF 115 V 214 ; Viret, loc. cit., p. 105 sv. ad ch. 8); autrement dit, la personne à laquelle l'assurance-invalidité a accordé une rente a également droit à une rente de l'institution de prévoyance, avec effet à la même date (RSAS 1997 p. 552 consid. 1). Cependant, dans un arrêt rendu le 29 novembre 2002 et publié aux ATF 129 V 73 , le Tribunal fédéral des assurances a précisé que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(cf. sur ces questions Piegai, Nouveautés concernant l'invalidité dans la prévoyance professionnelle, in PJA 2003 no 3 p. 294-302). Ce principe de la force contraignante trouve en outre sa limite lorsque la décision de l'assurance-invalidité n'est pas soutenable (ATF 120 V 108 consid. 3c) et lorsque la décision des organes de l'assurance-invalidité est fondée sur des éléments sans pertinence pour la détermination du droit à une pension de prévoyance. En l’espèce, la décision de l’OAI du 6 juin 2003 n’ayant pas été notifiée à la défenderesse, elle ne saurait lui être opposable conformément à l’ATF 129 V 73 , rendu antérieurement. Il convient ainsi de déterminer le taux d’invalidité de la demanderesse. b) S’agissant de la prévoyance plus étendue, l’art. 11 (2) du règlement de 1995, réédité en 2002, stipule que la rente annuelle d’invalidité est payable à l’assuré qui peut prétendre à une rente de l’assurance-invalidité fédérale. Il convient ainsi de déterminer si la demanderesse pouvait prétendre à une telle rente. Ces mêmes considérations s’appliquent si l’on considère que l’art. 11 (2) du règlement de 1995 étend le droit aux prestations minimales de la prévoyance obligatoire.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En l’espèce, il sied donc de déterminer si la demanderesse présentait un degré d’invalidité supérieur à 40% pour pouvoir prétendre à des prestations de la prévoyance tant obligatoire que plus étendue a) A la demande de l’OAI, deux expertises, rhumatologique et psychiatrique, ont été réalisées par les Dr P_________, respectivement Q_________. Dans son expertise du 20 septembre 2002, le Dr P_________N a posé les diagnostics de trouble somatoforme douloureux sous la forme d’une fibromyalgie, d’hernie discale L3-L4 et protrusion discale L4-L5, d’obésité et d’état dépressif vraisemblable. Il a considéré qu’une capacité de travail de 75 % dans sa profession de dame de buffet était adaptée. A teneur du rapport d’expertise du SMR du 7 mars 2003, les diagnostics suivants ont été retenus : trouble douloureux somatoforme persistant (F45.4) et dysthymie (F34.1). Quant à la capacité de travail, elle était de 100% dès le printemps 2002 dans toutes les activités. Dans un arrêt rendu le 22 juin 2006, le Tribunal fédéral a reconnu une pleine valeur probante aux expertises précitées. Il a notamment considéré que la demanderesse ne présentait pas d’atteintes somatiques invalidantes. Sur le plan psychique, il a retenu que « le trouble somatoforme douloureux ne se [manifestait] pas avec une sévérité telle que, d’un point de vue objectif, seule une mise en valeur limitée de la capacité de travail de [l’assurée] puisse être raisonnablement exigée d’elle ». Si la décision de l’OAI du 6 juin 2003 n’est certes pas opposable à la défenderesse, il n’en demeure pas moins que l’appréciation de la valeur probante des expertises du Dr P_________ et du SMR faite par le Tribunal fédéral dans son arrêt du 22 juin 2006 ne saurait être remise en question par la Chambre de céans. Ainsi, dès lors qu’une pleine valeur probante a été reconnue à ces rapports, il convient de considérer que la demanderesse était capable de travailler à 75% sur le plan somatique et à 100% sur le plan psychique dans son activité de dame de buffet pendant la période litigieuse. En procédant à la comparaison des revenus, seule une invalidité de 25% peut par conséquent être reconnue à la demanderesse pour la période postérieure au 1 er septembre 2002. A cela s’ajoute le fait que l’aggravation de l’état de santé de la demanderesse, qui a entraîné une incapacité de travail totale dès le début de l’année 2006 -ce qui n’a pas été contesté vu l’absence d’opposition au projet de décision, respectivement de recours contre la décision- ne saurait être qualifiée d’incapacité de longue durée au sens de l’art. 8 LPGA. En effet, pour qu’une telle qualification puisse être donnée, l’incapacité en question doit avoir perduré pendant au moins un an (voir KIESER, ATSG-Kommentar, 2009, n° 14 ad art. 8). Or, dans le cas de la demanderesse, ce n’est qu’en 2007 que la demanderesse a présenté, pendant la période d’un an requise, une incapacité totale de travailler de longue durée et, partant, une invalidité. Le taux de 25% étant largement inférieur au 40% d’invalidité prévu à l’art. 23 let. a LPP, aucune rente d’invalidité relevant du régime de prévoyance obligatoire ne doit être versée à la demanderesse. b) S’agissant du régime de prévoyance plus étendu, il convient de rappeler que l’art. 11 (2) du règlement de 1995, réédité en 2002, prévoyait le versement d’une rente annuelle d’invalidité à l’assuré qui pouvait prétendre à une rente de l’assurance-invalidité. Or, pour pouvoir prétendre à une rente de l’assurance-invalidité, l’assuré doit présenter une invalidité d’au moins 40% (voir art. 28 al. 1 LAI), ce qui n’est pas le cas de la demanderesse. Ces mêmes considérations s’appliquent si l’on devait considérer que l’art. 11 (2) du règlement de 1995, réédité en 2002, étend en réalité les prestations minimales dans le cadre de la prévoyance obligatoire. c) Compte tenu de ce qui précède, la demanderesse doit être déboutée de ses conclusions en paiement d’une rente d’invalidité de 25% pour la période non prescrite du 10 mars 2005 au 31 décembre 2006 que ce soit en matière de prévoyance obligatoire ou plus étendue. Enfin, concernant la période courant dès le 1 er janvier 2007, la demanderesse requiert le versement d’une rente d’invalidité entière. Quant à la défenderesse, elle oppose à ces conclusions la rupture du lien de connexité tant matérielle que temporelle en ce qui concerne la prévoyance obligatoire et la prévoyance plus étendue. a) A titre liminaire, il sied de préciser que la fondation a prévu, à l’art. 24 du règlement du 1 er janvier 2007, le versement d’une rente à partir d’un taux inférieur à 40% conformément à la possibilité que la jurisprudence fédérale lui octroyait. En effet, il suffit que les personnes assurées par la défenderesse présentent une invalidité de 25% et que le lien de connexité tant matérielle que temporelle soit réalisé pour une rente d’invalidité doive leur être versée. Que cette clause permette d’étendre les prescriptions minimales de la LPP en matière de prévoyance obligatoire ou qu’elle fasse partie de la prévoyance plus étendue ne modifie en rien l’issue du litige. En effet, dès lors que la décision du 13 août 2008 a été notifiée à la fondation, elle lui est opposable. Une invalidité à 100% ayant été reconnue, la demanderesse présente à l’évidence un taux d’invalidité suffisant au sens des art. 23 al. 1 let. a LPP et 24 du règlement du 1 er janvier 2007. Seule reste par conséquent à examiner la condition de la connexité matérielle et temporelle prévue, dans les mêmes termes, par les deux dispositions précitées. Aussi, la Chambre de céans examinera cette condition sans faire de distinction entre la prévoyance obligatoire et celle plus étendue. b) Selon la jurisprudence, la notion d'incapacité de travail est définie comme étant la « diminution de l'aptitude fonctionnelle dans sa profession ou son domaine d'activité » (ATF 130 V 97 consid. 3.2 et les références). Il y a lieu d'office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(Meyer-Blaser, Rechtsprechung des Bundesgerichts zum IVG, Zürich 1997, p. 289). Selon la jurisprudence, une baisse de rendement doit se manifester au regard du droit du travail et avoir été remarquée par l'employeur. Une incapacité de travail médico-théorique qui n'a été constatée que des années après ne suffit pas (ATFA non publié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(Brühwiler, Kommentar zum Einzelarbeitsvertrag, 2e éd., 1996, n° 9 ad art. 324a CO ; Favre/Munoz/Tobler, Le contrat de travail, 2001, n° 1.13 ad art. 324a CO ;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(ATFA non publiés B 82/05, du 22 septembre 2006, consid. 3.2, B 32/05, du 24 juillet 2006, et B 93/02, du 3 mai 2004). c)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l’art. 88a al. 1 du règlement sur l’assurance-invalidité, du 17 janvier 1961 (RAI ; RS 831.201). e) En l’espèce, l’expertise psychiatrique réalisée le 7 mars 2003, à laquelle le Tribunal fédéral a attribué une pleine valeur probante, a reconnu la demanderesse totalement incapable de travailler pour des motifs psychiques entre le 3 décembre 2001 et le printemps 2002. Dès cette époque, l’assurée présentait une capacité de travail à 100% dans toutes les activités. Sur le plan somatique, elle a été reconnue comme étant incapable de travailler à 25%. Ainsi, sur la base des expertises, à laquelle le Tribunal fédéral a reconnu une pleine valeur probante, la demanderesse a certes présenté une incapacité de travail pour des motifs psychiques jusqu’au printemps 2002. Toutefois, dès cette époque, seules des atteintes somatiques ont eu des répercussions sur sa capacité de travail. Or, dès lors que la rente d’invalidité entière, octroyée avec effet au 1 er janvier 2007, l’a été en raison d’atteintes psychiques, le lien de connexité matérielle fait défaut. En effet, l’incapacité de travail de 25% perdurant au-delà du printemps 2002 était due à des atteintes somatiques alors que l’invalidité a été reconnue en 2008 en raison d’atteintes psychiques. A cela s’ajoute le fait que même si la demanderesse était incapable de travailler pour des motifs psychiques entre le 3 décembre 2001 et le printemps 2002, il a été considéré que le traitement administré lui permettait de reprendre une activité professionnelle à 100%. Par ailleurs, l’aggravation de son état psychique, ayant entraîné une incapacité de travail de 100%, n’a été reconnue qu’avec effet au début de l’année 2006 soit près de quatre ans après la fin du versement de la rente temporaire, ce que la demanderesse n’a pas contesté. Il doit ainsi être considéré, selon le principe de la vraisemblance prépondérante applicable en l’espèce, que la demanderesse a retrouvé sa capacité de travail pour une longue période après la survenance de l’incapacité de travail. Au vu de ce qui précède, force est ainsi de constater que les liens de connexité tant matérielle que temporelle font défaut de sorte que la demanderesse doit être déboutée de toutes ses conclusions. La Chambre de céans précisera encore qu’il sera renoncé à ordonner d’autres mesures d’instruction (appréciation anticipée des preuves : ATF 122 II 469 consid. 4a, 122 III 223 consid. 3c). En effet, le dossier comporte deux expertises auxquelles le Tribunal fédéral a reconnu une pleine valeur probante. L’audition des médecins de la demanderesse, dont les conclusions ont été retenues avec circonspection par le Tribunal fédéral, n’est ainsi pas nécessaire. A cela s’ajoute le fait que selon le rapport d’expertise de la Clinique romande de réadaptation du 22 avril 2008, l’incapacité de travail complète remonte à tout le moins au début de l’année 2006, selon les renseignements fournis par les psychiatres traitants. Ces derniers semblent ainsi retenir une aggravation de l’état de santé et une incapacité de travail avec effet au début de l’année 2006. La demanderesse n’ayant pas recouru contre la décision rendue sur la base de ce rapport, elle admet avoir été capable de travailler avant le début de l’année 2006. Si tel n’avait pas été le cas, elle se serait prononcée sur le projet d’acceptation de rente et aurait sollicité le versement d’une rente d’invalidité, à tout le moins partielle, pour les mois voire années précédant le 1 er janvier 2007. Au vu de ce qui précède, la demande doit être rejetée. Pour le surplus, la procédure est gratuite (art. 73 al. 2 LPP et art. 89H al. 3 de la loi cantonale sur la procédure administrative - LPA ; RS E 5.10). Enfin, la demanderesse, qui succombe, n'aura pas droit à des dépens. PAR CES MOTIFS, LA CHAMBRE DES ASSURANCES SOCIALES : Statuant A la forme : Déclare la demande du 10 mars 2010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