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A/825/2007 vom 13. Januar 2006</w:t>
      </w:r>
    </w:p>
    <w:p>
      <w:r>
        <w:t>GE Cour de justice, 2006-01-13, FR</w:t>
      </w:r>
    </w:p>
    <w:p>
      <w:r>
        <w:rPr>
          <w:b/>
        </w:rPr>
        <w:t xml:space="preserve">Quelle: </w:t>
      </w:r>
      <w:r>
        <w:t>https://mcp.opencaselaw.ch/entscheid/ge_gerichte_A_825_2007</w:t>
      </w:r>
    </w:p>
    <w:p>
      <w:r>
        <w:t>FR: GE_GERICHTE A/825/2007 du 13 janvier 2006</w:t>
      </w:r>
    </w:p>
    <w:p>
      <w:r>
        <w:t>IT: GE_GERICHTE A/825/2007 del 13 gennaio 2006</w:t>
      </w:r>
    </w:p>
    <w:p>
      <w:pPr>
        <w:pStyle w:val="Heading2"/>
      </w:pPr>
      <w:r>
        <w:t>Erwägungen</w:t>
      </w:r>
    </w:p>
    <w:p>
      <w:r>
        <w:rPr>
          <w:b/>
        </w:rPr>
        <w:t>E. 3</w:t>
      </w:r>
    </w:p>
    <w:p>
      <w:r>
        <w:t>a. Selon l’article 4 alinéa 1 de la loi sur la restauration, le débit de boissons et l'hébergement du 17 décembre 1987 (LRDBH - I 2 21), l’exploitation de tout établissement régi par la LRDBH est soumise à l’obtention préalable d’une autorisation délivrée par le département. L’alinéa 2 de cet article précise que cette autorisation doit être requise lors de chaque changement d’exploitant ou modification des conditions de l’autorisation antérieure. Cette autorisation est personnelle et intransmissible (art. 15 al. 3 LRDBH). A teneur de l’article 5 alinéa 1 lettre c, respectivement e LRDBH, la délivrance d’une telle autorisation est subordonnée à la condition que le requérant soit titulaire du certificat de capacité attestant de son aptitude à gérer un établissement soumis à la loi en question et qu’il offre toute garantie, compte tenu notamment de son lieu de domicile ou de résidence et de sa disponibilité, d’une exploitation personnelle et effective de l’établissement. En vertu de l’article 21 alinéa 1 LRDBH, l’exploitant est tenu de gérer son établissement de façon personnelle et effective. b. Selon la jurisprudence du Tribunal administratif ( ATA/489/2005 du 19 juillet 2005 et les références citées), une gestion effective consiste en la prise en charge des tâches administratives liées, d’une part, au personnel (engagements, salaires, horaires, remplacements, etc.) et, d’autre part, à la bonne marche de l’établissement (commande de marchandises, fixation des prix, composition des menus, contrôle de la caisse, inventaire, etc.).</w:t>
      </w:r>
    </w:p>
    <w:p>
      <w:r>
        <w:rPr>
          <w:b/>
        </w:rPr>
        <w:t>E. 4</w:t>
      </w:r>
    </w:p>
    <w:p>
      <w:r>
        <w:t>L’article 12 LRDBH prévoit qu’il est interdit au titulaire d’un certificat de capacité de servir de prête-nom pour l’exploitation d’un établissement soumis à la LRDBH. Cette interdiction vise à prévenir l’exploitation d’établissements par des personnes qui ne répondraient pas à des conditions de capacité et d’honorabilité bien déterminées, avec tout ce que cela comporte comme risque pour le public ( ATA/486/2002 du 29 août 2002). Il ressort des pièces du dossier comme de l’instruction à laquelle le Tribunal administratif a procédé que le recourant ne gérait pas personnellement et effectivement l’établissement en cause, mais que c’est M. J_______ qui le faisait, sans être au bénéfice d’une quelconque autorisation. Les infractions reprochées à M. A_______ sont ainsi établies à satisfaction de droit.</w:t>
      </w:r>
    </w:p>
    <w:p>
      <w:r>
        <w:rPr>
          <w:b/>
        </w:rPr>
        <w:t>E. 5</w:t>
      </w:r>
    </w:p>
    <w:p>
      <w:r>
        <w:t>En cas d’infractions à la LRDBH, le département peut infliger aux contrevenants une amende de CHF 100.- à CHF 60’000.- (art. 74 ch. 1 LRDBH) et suspendre, pour une durée de dix jours à six mois, l’autorisation d’exploiter ou la retirer (art. 70 LRDBH), cas échéant suspendre ou retirer les autorisations complémentaires délivrées, telles que l’autorisation de prolonger l’horaire d’exploitation (art. 71 al. 1 et 2 LRDBH). Au vu des manquements ci-dessus reprochés au recourant, le principe d’une amende administrative pour violation des articles 12 et 21 LRDBH est justifié.</w:t>
      </w:r>
    </w:p>
    <w:p>
      <w:r>
        <w:rPr>
          <w:b/>
        </w:rPr>
        <w:t>E. 6</w:t>
      </w:r>
    </w:p>
    <w:p>
      <w:r>
        <w:t>Il reste à en examiner la quotité. a. Les amendes administratives sont de nature pénale, car aucun critère ne permet de les distinguer clairement des amendes ordinaires pour lesquelles la compétence administrative de première instance peut au demeurant aussi exister. C'est dire que la quotité de la sanction administrative doit être fixée en tenant compte des principes généraux régissant le droit pénal ( ATA/601/2006 du 14 novembre 2006 ; ATA/543/2006 du 10 octobre 2006 ; ATA/813/2001 du 4 décembre 2001 ; P. MOOR, Droit administratif : les actes administratifs et leur contrôle, vol. 2, Berne 2002, ch. 1.4.5.5, p. 139 ss). b. En vertu des articles 103 et 104 du code pénal suisse du 21 décembre 1937 (CP - RS 311.0) et 1 lettre a de la loi pénale genevoise du 17 novembre 2006 (LPG - E 4 05), il y a lieu de faire application des dispositions générales contenues dans le CP. Il est ainsi nécessaire que le contrevenant ait commis une faute, fût-ce sous la forme d'une simple négligence (HÄFELIN/MÜLLER/UHLMANN, Allgemeines Verwaltungsrecht, 5 ème éd., Zürich-Bâle-Genève 2006, p. 252, n. 1179). Selon des principes qui n'ont pas été remis en cause, l'administration doit faire preuve de sévérité afin d'assurer le respect de la loi ( ATA/543/2006 du 10 octobre 2006 ; ATA/451/2006 du 31 août 2006 ; A. GRISEL, Traité de droit administratif, vol. 2, Neuchâtel, 1984, pp.646-648) et jouit d'un large pouvoir d'appréciation pour infliger une amende ( ATA/415/2006 du 26 juillet 2006 et arrêts précités). La juridiction de céans ne la censure qu'en cas d'excès ( ATA/281/2006 du 23 mai 2006). Enfin, l'amende doit respecter le principe de la proportionnalité (art. 36 al. 3 de la Constitution fédérale de la Confédération suisse du 18 avril 1999 - Cst. - RS 101 ; ATA/234/2006 du 2 mai 2006). c. Selon la jurisprudence du Tribunal administratif, le prononcé d'une amende de CHF 3'000.- à l’encontre de la personne qui a servi de prête-nom est conforme à la loi et à la pratique de l'autorité intimée ( ATA/776/2001 du 27 novembre 2001 ; ATA/260/2000 du 18 avril 2000 ; ATA/219/2000 du 4 avril 2000 ; ATA/105/2000 du 15 février 2000 ; ATA/104/1999 du 9 février 1999 ; ATA/716/1998 du 10 novembre 1998). Dans d'autres cas, le Tribunal administratif est resté en deçà du montant habituel de CHF 3'000.-, selon que le recourant se trouvait sur les lieux pratiquement en permanence ou n’avait tiré qu’un faible profit de l’opération de prête-nom. Il a également tenu compte des graves difficultés personnelles et familiales du recourant qui aidait personnellement et financièrement une fille majeure très malade et handicapée ; il a alors diminué le montant de l'amende à CHF 1'500.- ( ATA/245/1998 du 21 avril 1998 ; ATA/31/1998 du 27 janvier 1998 ; ATA M. du 9 août 1994). Dans un autre cas, il a réduit l'amende à CHF 1’500.- au motif que la personne intéressée n'avait tiré qu'un faible profit de l'opération de prête-nom ( ATA/182/2006 du 28 mars 2006 et les références citées). Au vu de l’ensemble des circonstances, en particulier la durée de l’activité de prête-nom et le fait qu’il y a été mis fin dès le prononcé de la décision querellée, d’une part, l’absence d’antécédent et la situation financière modeste de M. A_______ d’autre part, le tribunal de céans ramènera l’amende à CHF 1'500.-.</w:t>
      </w:r>
    </w:p>
    <w:p>
      <w:r>
        <w:rPr>
          <w:b/>
        </w:rPr>
        <w:t>E. 7</w:t>
      </w:r>
    </w:p>
    <w:p>
      <w:r>
        <w:t>Le recours sera ainsi admis partiellement en ce qui concerne l’amende, étant devenu sans objet pour le surplus. Un émolument de CHF 400.-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