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A/824/2020 vom 6. Mai 2020</w:t>
      </w:r>
    </w:p>
    <w:p>
      <w:r>
        <w:t>GE Cour de justice, 2020-05-06, FR</w:t>
      </w:r>
    </w:p>
    <w:p>
      <w:r>
        <w:rPr>
          <w:b/>
        </w:rPr>
        <w:t xml:space="preserve">Quelle: </w:t>
      </w:r>
      <w:r>
        <w:t>https://mcp.opencaselaw.ch/entscheid/ge_gerichte_A_824_2020</w:t>
      </w:r>
    </w:p>
    <w:p>
      <w:r>
        <w:t>FR: GE_GERICHTE A/824/2020 du 6 mai 2020</w:t>
      </w:r>
    </w:p>
    <w:p>
      <w:r>
        <w:t>IT: GE_GERICHTE A/824/2020 del 6 maggio 2020</w:t>
      </w:r>
    </w:p>
    <w:p>
      <w:pPr>
        <w:pStyle w:val="Heading2"/>
      </w:pPr>
      <w:r>
        <w:t>Volltext</w:t>
      </w:r>
    </w:p>
    <w:p>
      <w:r>
        <w:t>Genève Cour de justice (Cour de droit public) Chambre administrative 06.05.2020 A/824/2020</w:t>
      </w:r>
    </w:p>
    <w:p>
      <w:r>
        <w:t>A/824/2020 ATA/442/2020 du 06.05.2020 ( FPUBL ) , REFUSE RÉPUBLIQUE ET CANTON DE GENÈVE POUVOIR JUDICIAIRE A/824/2020 - FPUBL ATA/442/2020 COUR DE JUSTICE Chambre administrative Décision du 6 mai 2020 sur effet suspensif dans la cause Monsieur A______ représenté par Me Anaïs Loeffel, avocate contre DÉPARTEMENT DE L'INSTRUCTION PUBLIQUE, DE LA FORMATION ET DE LA JEUNESSE Vu, en fait, la décision du 30 janvier 2020 rendue par la Conseillère d'État en charge du département de la fonction publique, de la formation et de la jeunesse (ci-après : le département), rejetant le recours formé par Monsieur A______ contre le blâme qui lui a été infligé le 3 septembre 2019 par son supérieur hiérarchique, le directeur du centre de formation professionnelle - construction ; que ce blâme est fondé sur le fait que M. A______ n'a pas respecté la voie hiérarchique en adressant, le 1er avril 2019, un courriel relatif à des problèmes informatiques directement à la cheffe du département ; que ce courriel comportait un ton agressif et des termes grossiers ; qu'il lui est également reproché d'avoir déjà dans un courriel du 14 décembre 2018 employé des propos inadéquats ; qu'enfin, il avait, selon Monsieur B______, ingénieur système auprès du département, insulté ce dernier au téléphone le 1er avril 2019 ; ce faisant, M. A______ avait violé son obligation d'observer une attitude empreinte de dignité ; la sanction la moins sévère prononcée respectait le principe de la proportionnalité et tenait compte du fait qu'une des classes dont l'enseignement était confié à l'intéressé était connue pour être particulièrement difficile ; vu le recours interjeté le 5 mars 2020 devant la chambre administrative de la Cour de justice par Monsieur A______ contre la décision du département du 30 janvier 2020 ; que celui-ci conclut à l'annulation de cette décision et au classement de la procédure disciplinaire à son encontre ; qu'il sollicite la restitution de l'effet suspensif, exposant que lors de l'entretien de service du 11 juin 2019, il a avait été indiqué que des mesures de suivi/accompagnement pédagogique et une formation informatique étaient mises en place pour lui ; qu'il s'agissait, selon lui, de corollaires à la sanction disciplinaire déclarée exécutoire nonobstant recours ; qu'à défaut de restitution de l'effet suspensif, il devait se soumettre à ces mesures ; que le département a relevé que la question du suivi de l'enseignement et de l'inscription à une formation informatique ne faisaient pas l'objet de la procédure, de sorte que les conclusions y relatives étaient irrecevables ; pour le surplus, accorder l'effet suspensif au recours reviendrait à annuler le blâme avant que l'arrêt au fond soit rendu ; que dans sa réplique sur effet suspensif, le recourant a indiqué que les mesures de suivi pédagogique et de formation informatique étaient intimement liées au blâme ; c'était lors de l'entretien du 11 juin 2019 qu'elles lui avaient été exposées ; que, par courrier du 28 avril 2020,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des mesures provisionnelles - au nombre desquelles compte la restitution de l'effet suspensif - ne sont légitimes que si elles s'avèrent indispensables au maintien d'un état de fait ou à la sauvegarde d'intérêts compromis (ATF 119 V 503 consid. 3 ; ATA/15/2020 du 8 janvier 2020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la décision querellée confirme le blâme prononcé le 3 septembre 2019 à l'encontre du recourant ; qu'il n'apparaît pas que la décision du 3 septembre 2019 ou celle la confirmant imposeraient au recourant un suivi pédagogique et une formation informatique ; qu'ainsi, prima facie et sans préjudice de l'examen au fond, ces points ne font pas l'objet du litige ; que, partant, l'effet suspensif ne peut s'étendre à ces points ; que, pour le surplus, il existe un intérêt public indéniable à ce que les sanctions de l'État prises à l'encontre d'agents publics soient immédiatement exécutées ( ATA/108/2020 du 29 janvier 2020 consid. 7; ATA/300/2015 du 24 mars 2015 ; ATA/991/2014 du 15 décembre 2014 et les références citées), étant relevé que le recourant ne sollicite pas l'octroi de l'effet suspensif en ce qui concerne le prononcé du blâme ; qu'au vu de ce qui précède, la requête de restitution de l'effet suspensif sera rejetée ; qu'il sera statué sur les frais de la présente décision avec l'arrêt sur le fond.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Anaïs Loeffel, avocate du recourant, ainsi qu'au département de l'instruction publique, de la formation et de la jeunesse. la juge : I. Cuendet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