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A/823/2023 vom 29. Oktober 2024</w:t>
      </w:r>
    </w:p>
    <w:p>
      <w:r>
        <w:t>GE Cour de justice, 2024-10-29, FR</w:t>
      </w:r>
    </w:p>
    <w:p>
      <w:r>
        <w:rPr>
          <w:b/>
        </w:rPr>
        <w:t xml:space="preserve">Quelle: </w:t>
      </w:r>
      <w:r>
        <w:t>https://mcp.opencaselaw.ch/entscheid/ge_gerichte_A_823_2023</w:t>
      </w:r>
    </w:p>
    <w:p>
      <w:r>
        <w:t>FR: GE_GERICHTE A/823/2023 du 29 octobre 2024</w:t>
      </w:r>
    </w:p>
    <w:p>
      <w:r>
        <w:t>IT: GE_GERICHTE A/823/2023 del 29 ottobre 2024</w:t>
      </w:r>
    </w:p>
    <w:p>
      <w:pPr>
        <w:pStyle w:val="Heading2"/>
      </w:pPr>
      <w:r>
        <w:t>Erwägungen</w:t>
      </w:r>
    </w:p>
    <w:p>
      <w:r>
        <w:rPr>
          <w:b/>
        </w:rPr>
        <w:t>E. 2</w:t>
      </w:r>
    </w:p>
    <w:p>
      <w:r>
        <w:t>La recourante sollicite son audition.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w:t>
      </w:r>
    </w:p>
    <w:p>
      <w:r>
        <w:rPr>
          <w:b/>
        </w:rPr>
        <w:t>E. 2.2</w:t>
      </w:r>
    </w:p>
    <w:p>
      <w:r>
        <w:t>En l'espèce, la recourante a pu apporter des pièces au dossier et fournir des explications détaillées tant devant l’OCPM que devant le TAPI et la chambre de céans. Elle n'a par contre aucunement indiqué en quoi son audition serait indispensable à la solution du litige, ou en quoi celle-ci irait au-delà des éléments établis par pièces. Il ne sera donc pas procédé à l'audition sollicitée.</w:t>
      </w:r>
    </w:p>
    <w:p>
      <w:r>
        <w:rPr>
          <w:b/>
        </w:rPr>
        <w:t>E. 3</w:t>
      </w:r>
    </w:p>
    <w:p>
      <w:r>
        <w:t>Le litige porte sur la conformité au droit du jugement confirmant la décision de l'OCPM de refuser de transmettre au secrétariat d’État aux migrations (ci-après : SEM) le dossier de la recourante et de sa fille avec un préavis favorable, et prononçant leur renvoi de Suisse. La recourante considère que sa situation remplit tous les critères d’application des dispositions relatives aux cas d’extrême gravité.</w:t>
      </w:r>
    </w:p>
    <w:p>
      <w:r>
        <w:rPr>
          <w:b/>
        </w:rPr>
        <w:t>E. 3.1</w:t>
      </w:r>
    </w:p>
    <w:p>
      <w:r>
        <w:t>Le 1 er janvier 2019 est entrée en vigueur une modification de la LEtr, devenue la LEI, et de l’OASA. Conformément à l’art. 126 al. 1 LEI, les demandes déposées, comme celle de la recourante, avant le 1 er janvier 2019, sont régies par l’ancien droit.</w:t>
      </w:r>
    </w:p>
    <w:p>
      <w:r>
        <w:rPr>
          <w:b/>
        </w:rPr>
        <w:t>E. 3.2</w:t>
      </w:r>
    </w:p>
    <w:p>
      <w:r>
        <w:t>Selon l’ancien art. 30 al. 1 let. b LEI (dont la teneur correspond à celle de l’actuel art. 30 al. 1 let. b LEI), il est possible de déroger aux conditions d’admission (art. 18 à 29) dans le but de tenir compte des cas individuels d’une extrême gravité ou d’intérêts publics majeurs. Conformément à l’art. 31 al. 1 OASA (dans sa teneur en vigueur jusqu’au 31 décembre 2018),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3.3</w:t>
      </w:r>
    </w:p>
    <w:p>
      <w:r>
        <w:t>Ces critères, qui doivent impérativement être respectés, ne sont toutefois pas exhaustifs, d’autres éléments pouvant également entrer en considération, comme les circonstances concrètes ayant amené un étranger à séjourner illégalement en Suisse ( ATA/1087/2022 du 1 er novembre 2022 consid. 11a ; ATA/1669/2019 du 12 novembre 2019 consid. 7b). Les dispositions dérogatoires des art. 30 LEI et 31 OASA présentent un caractère exceptionnel, et les conditions pour la reconnaissance d’une telle situation doivent être appréciées de manière restrictive (ATF 128 II 200 consid. 4 ; ATA/189/2022 du 22 février 2022 consid. 3d).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ATA/16/2024 du 9 janvier 2024 consid. 3.2).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ATA/16/2024 précité consid. 3.3).</w:t>
      </w:r>
    </w:p>
    <w:p>
      <w:r>
        <w:rPr>
          <w:b/>
        </w:rPr>
        <w:t>E. 3.4</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(ATF 138 II 393 consid. 3.1 ; 130 II 39 consid. 3 ; arrêts du Tribunal fédéral 2C_754/2018 du 28 janvier 2019 consid. 7.2 et 2A.543/2001 du 25 avril 2002 consid. 5.2 ; arrêt du Tribunal administratif fédéral [TAF] F‑1734/2019 du 23 mars 2020 consid. 8.5 et les références citées).</w:t>
      </w:r>
    </w:p>
    <w:p>
      <w:r>
        <w:rPr>
          <w:b/>
        </w:rPr>
        <w:t>E. 3.5</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jurisprudence requiert, de manière générale, une très longue durée de séjour en Suisse, soit une période de sept à huit ans ( ATA/1306/2020 du 15 décembre 2020 consid. 5b), une durée de séjour régulier et légal de dix ans permettant de présumer que les relations sociales entretenues en Suisse par la personne concernée sont devenues si étroites que des raisons particulières sont nécessaires pour mettre fin à son séjour dans ce pays (ATF 144 I 266 consid. 3.8). En règle générale, la durée du séjour illégal en Suisse ne peut être prise en considération dans l’examen d’un cas de rigueur car, si tel était le cas, l’obstination à violer la législation en vigueur serait en quelque sorte récompensée (ATF 130 II 39 consid. 3 ; arrêt du Tribunal fédéral 2D_13/2016 du 11 mars 2016 consid. 3.2 ; ATA/667/2021 du 29 juin 2021 consid. 6c). Les années passées en Suisse dans l’illégalité ou au bénéfice d’une simple tolérance – par exemple en raison de l’effet suspensif attaché à des procédures de recours – ne sont pas déterminantes (ATF 137 II 1 consid. 4.3 ; ATF 134 II 10 consid. 4.3 ; arrêts du Tribunal fédéral 2C_603/2019 du 16 décembre 2019 consid. 6.2 ; 2C_436/2018 du 8 novembre 2018 consid. 2.2). L’indépendance économique est un aspect qui est en principe attendu de tout étranger désireux de s’établir durablement en Suisse et ne constitue donc pas un élément extraordinaire (arrêts du Tribunal fédéral 2C_779/2016 du 13 septembre 2016 consid. 4.2 et 2C_789/2014 du 20 février 2015 consid. 2.2.2).</w:t>
      </w:r>
    </w:p>
    <w:p>
      <w:r>
        <w:rPr>
          <w:b/>
        </w:rPr>
        <w:t>E. 3.6</w:t>
      </w:r>
    </w:p>
    <w:p>
      <w:r>
        <w:t>Aux termes de l'art. 96 al. 1 LEI, les autorités compétentes tiennent compte, en exerçant leur pouvoir d'appréciation, des intérêts publics, de la situation personnelle de l'étranger ainsi que de son intégration.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rPr>
          <w:b/>
        </w:rPr>
        <w:t>E. 3.7</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 ATA/365/2024 du 12 mars 2024 consid. 2.5 ; arrêt du TAF F-1700/2022 du 10 janvier 2024 consid. 7.5).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ATA/969/2024 du 20 août 2024 consid. 2.8). Sous l’angle du cas de rigueur, il est considéré que cette pratique différenciée réalise la prise en compte de l’intérêt supérieur de l’enfant, telle qu’elle est prescrite par l’art. 3 al. 1 de la Convention relative aux droits de l’enfant du 20 novembre 1989 (CDE - RS 0.107 ; arrêts du Tribunal fédéral 2A.679/2006 du 9 février 2007 consid. 3 et 2A.43/2006 du 31 mai 2006 consid. 3.1 ; ATA/434/2020 du 31 avril 2020 consid. 10).</w:t>
      </w:r>
    </w:p>
    <w:p>
      <w:r>
        <w:rPr>
          <w:b/>
        </w:rPr>
        <w:t>E. 3.8</w:t>
      </w:r>
    </w:p>
    <w:p>
      <w:r>
        <w:t>En l'espèce, la recourante réside en Suisse de manière continue depuis le mois d'avril 2014 et sa fille depuis sa naissance en décembre 2016. Dans le cadre de l'« opération Papyrus », il était demandé à une personne seule d'avoir séjourné à Genève dix ans avant le dépôt de sa demande, et cinq ans pour les familles avec enfants(s) scolarisé(s). Dès lors, la condition relative au séjour n'est pas réalisée en ce qui concerne la recourante, dès lors qu'au moment du dépôt de sa demande, soit en mai 2018, sa fille n'était pas scolarisée et qu'elle-même totalisait seulement quatre années de séjour en Suisse. Du point de vue des conditions du cas d'extrême gravité, la durée de son séjour en Suisse depuis son arrivée jusqu'à ce jour est de dix ans et peut être qualifiée de longue. Elle doit toutefois être relativisée, dès lors que l'intégralité du séjour de la recourante a été effectuée dans l'illégalité ou, depuis le dépôt de la demande de régularisation, au bénéfice d'une simple tolérance des autorités de migration. La recourante ne peut se prévaloir d'une intégration socioprofessionnelle remarquable. Si elle maîtrise la langue française au niveau requis et qu'il est vrai qu’elle travaille désormais en exerçant concurremment deux activités, le cumul de ses deux salaires (qui varie d'un mois à l'autre mais reste inférieur à CHF 3'500.- bruts) ne lui permet probablement pas d'être indépendante financièrement. Elle n'a du reste pas produit dans le cadre de la présente instance d'attestation de l'hospice selon laquelle elle ne bénéficierait plus de l'aide sociale, étant rappelé que tel était le cas en 2021 et 2022. Par ailleurs, l'activité de la recourante dans le domaine de l'économie domestique et du nettoyage ne répond pas à la définition d’une intégration extraordinaire, conformément à la jurisprudence mentionnée plus haut. La recourante ne fait pas valoir pour le surplus d’attaches particulièrement fortes avec le canton, ni d’engagement dans la vie sportive, culturelle ou associative. Il n'apparaît pas qu'elle ait développé des relations amicales ou affectives particulièrement développées en Suisse, qui ne pourraient être poursuivies depuis son pays d'origine, et ne soutient pas non plus avoir acquis des connaissances ou des qualifications si spécifiques qu’elle ne pourrait les utiliser dans son pays. Au contraire, l'expérience professionnelle acquise en Suisse devrait faciliter son intégration dans son pays d’origine. La recourante, âgée de presque 35 ans, a vécu toute son enfance, son adolescence et une partie de sa vie d'adulte dans son pays d'origine, où elle est retournée à plusieurs reprises. S'agissant de la prise en compte de l'intérêt supérieur de son enfant, il faut retenir que sa fille n'a pas encore 8 ans, si bien que vu son jeune âge, son processus d'intégration ne peut pas être qualifié d'avancé et irréversible au point qu'un départ pour le Kosovo ne puisse pas être envisagé. Bien que scolarisée dans l'école primaire genevoise, elle n’est pas encore entrée dans la période de l’adolescence au sens de la jurisprudence susmentionnée, à partir de laquelle elle sera susceptible de s’intégrer de manière qualifiée. La poursuite de sa scolarité au Kosovo ne devrait donc pas présenter d'obstacles insurmontables. En conséquence, la réintégration de la recourante et de sa fille n’apparaît pas gravement compromise. Dans ces circonstances, aucun des éléments pertinents, aussi bien pris singulièrement que dans leur globalité, ne permet de conclure que la recourante présente une situation de détresse personnelle au sens de l'art. 30 al. 1 let. b LEI.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toutefois pas le cas en l’espèce.</w:t>
      </w:r>
    </w:p>
    <w:p>
      <w:r>
        <w:rPr>
          <w:b/>
        </w:rPr>
        <w:t>E. 4</w:t>
      </w:r>
    </w:p>
    <w:p>
      <w:r>
        <w:t>Dès lors qu’il a, à juste titre, refusé l’octroi d’une autorisation de séjour à la recourante, l’intimé devait prononcer son renvoi. Il convient encore d’examiner si celui-ci est fondé.</w:t>
      </w:r>
    </w:p>
    <w:p>
      <w:r>
        <w:rPr>
          <w:b/>
        </w:rPr>
        <w:t>E. 4.1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En l'espèce, la recourante ne fait valoir aucune circonstance qui rendrait l’exécution de son renvoi ou de celui de sa fille illicite, impossible ou inexigible, et le dossier n'en laisse pas non plus apparaître. Les considérants qui précèdent conduisent au rejet du recours.</w:t>
      </w:r>
    </w:p>
    <w:p>
      <w:r>
        <w:rPr>
          <w:b/>
        </w:rPr>
        <w:t>E. 5</w:t>
      </w:r>
    </w:p>
    <w:p>
      <w:r>
        <w:t>Vu l’issue du recours, un émolument de CHF 400.- sera mis à la charge de la recourante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