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A/819/2010 vom 16. September 2010</w:t>
      </w:r>
    </w:p>
    <w:p>
      <w:r>
        <w:t>GE Cour de justice, 2010-09-16, FR</w:t>
      </w:r>
    </w:p>
    <w:p>
      <w:r>
        <w:rPr>
          <w:b/>
        </w:rPr>
        <w:t xml:space="preserve">Quelle: </w:t>
      </w:r>
      <w:r>
        <w:t>https://mcp.opencaselaw.ch/entscheid/ge_gerichte_A_819_2010</w:t>
      </w:r>
    </w:p>
    <w:p>
      <w:r>
        <w:t>FR: GE_GERICHTE A/819/2010 du 16 septembre 2010</w:t>
      </w:r>
    </w:p>
    <w:p>
      <w:r>
        <w:t>IT: GE_GERICHTE A/819/2010 del 16 settembre 2010</w:t>
      </w:r>
    </w:p>
    <w:p>
      <w:pPr>
        <w:pStyle w:val="Heading2"/>
      </w:pPr>
      <w:r>
        <w:t>Regeste</w:t>
      </w:r>
    </w:p>
    <w:p>
      <w:r>
        <w:t>Saisie. Ordre de la saisie. | Rejetée. L'ordre de la saisie prévu à l'art. 95 LP n'est pas impératif et l'OP peut s'en écarter au vu des circonstances ou avec l'accord des créanciers et débiteur. Par contre, l'Office doit s'en tenir strictement à son obligation de ne saisir que ce qui est nécessaire ainsi de respecter au mieux les intérêts des créanciers et du débiteur. | LP.91; LP.95</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 Commentaire, ad art. 91 n° 21 ss; André E. Lebrecht , in SchKG II, ad art. 91 n° 9 ss).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19). 2.d. En vertu de l'art. 95 al. 1 et 2 LP, la saisie porte en premier lieu sur les biens mobiliers y compris les créances et les droits relativement saisissables, puis à défaut de biens meubles suffisants pour couvrir la créance, sur les immeubles. Le fondement de cette disposition est que la saisie doit porter en premier lieu sur les biens aisément réalisables (Pierre-André Gilliéron , Commentaire ad art. 95 n° 17). L'ordre du type de bien à saisie prévu à l'art. 95 al. 1 à 4 LP n'est pas impératif. L'Office peut s'en écarter pour autant que les circonstances le justifient ou que le créancier et le débiteur en fassent conjointement la demande, étant précisé que l'Office n'est pas lié par cette demande conjointe (art. 95 al. 4bis LP ; CR-LP ad art. 95 n° 35). L'Office doit apprécier chaque situation, étant précisé que cet ordre doit être considéré comme une directive, dont l'Office peut s'écarter pour des motifs importants (ATF 115 III 50 -51 ; JdT 1991 II 147-148, c.3). Cet alinéa 4bis fait des règles sur l'ordre de saisie de simples directive (Richtlinien), par opposition à des règles juridiques rigides (starre Rechtssätze), mais cela n'est vrai que quant aux règles relatives à l'ordre de la saisie, et non pour des principes généraux et cardinaux, tels l'obligation de concilier au mieux les intérêts du poursuivant et du poursuivi (art. 95 al. 5 LP) ou encore l'obligation de saisir que les droits nécessaires pour satisfaire en capital, intérêts et frais la poursuite (Pierre-Robert Gilliéron , Commentaire ad art. 95 n° 16 à 18). 2.e. En l'espèce, la Commission de céans constate que le plaignant a fait l'objet certes de diverses saisies mobilières par le passé, relatives à des objets d'art. Entre le moment de l'envoi de l'avis de saisie le 9 mars 2009, le plaignant ne s'est finalement présenté à l'Office que le 26 janvier 2010, soit dix mois plus tard. Il apparaît à la lecture du procès-verbal de saisie que le plaignant n'a jamais fourni de liste de biens mobiliers à saisir et n'a de ce fait pas rempli ses obligations découlant de l'art. 91 LP. Contrairement à ce que soutien implicitement le plaignant, l'Office ne pouvait se référer à d'anciens procès-verbaux de vente pour saisir des biens mobiliers antérieurement saisis mais non réalisés, sans s'assurer qu'ils sont restés formellement la propriété du débiteur. Ainsi, l'Office ne pouvait être formellement certaine que du fait que le débiteur est propriétaire du bien immobilier saisi, vu l'absence de collaboration de sa part. Seul actif connu de l'Office, celui-ci ne pouvait que saisir la villa du plaignant pour couvrir cette série. La plainte sera ainsi rejetée.</w:t>
      </w:r>
    </w:p>
    <w:p>
      <w:r>
        <w:rPr>
          <w:b/>
        </w:rPr>
        <w:t>E. 3</w:t>
      </w:r>
    </w:p>
    <w:p>
      <w:r>
        <w:t>Il est statué sans frais ni dépens (art. 20a al. 2 ch. 5 LP, 61 al. 2 let. a, 62 al. 2 OELP) et la Commission de céans renoncera à infliger une amende au plaignant, dont la plainte est à la limite de la témérité (art. 20a al. 2 ch. 5 2 ème phr.). * * * * * PAR CES MOTIFS, LA COMMISSION DE SURVEILLANCE SIÉGEANT EN SECTION : A la forme : Déclare recevable la plainte formée le 9 mars 2010 par M. R______ contre le procès-verbal de saisie, série n° 08 xxxx54 S. Au fond : 1. La rejette. 2. Déboute les parties de toutes autres conclusions. Siégeant : M. Philippe GUNTZ, président ;  M. Didier BROSSET, juge assesseur et M. Pascal JUNOD,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