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A/819/2004 vom 28. Juli 2005</w:t>
      </w:r>
    </w:p>
    <w:p>
      <w:r>
        <w:t>GE Cour de justice, 2005-07-28, FR</w:t>
      </w:r>
    </w:p>
    <w:p>
      <w:r>
        <w:rPr>
          <w:b/>
        </w:rPr>
        <w:t xml:space="preserve">Quelle: </w:t>
      </w:r>
      <w:r>
        <w:t>https://mcp.opencaselaw.ch/entscheid/ge_gerichte_A_819_2004</w:t>
      </w:r>
    </w:p>
    <w:p>
      <w:r>
        <w:t>FR: GE_GERICHTE A/819/2004 du 28 juillet 2005</w:t>
      </w:r>
    </w:p>
    <w:p>
      <w:r>
        <w:t>IT: GE_GERICHTE A/819/2004 del 28 luglio 2005</w:t>
      </w:r>
    </w:p>
    <w:p>
      <w:pPr>
        <w:pStyle w:val="Heading2"/>
      </w:pPr>
      <w:r>
        <w:t>Erwägungen</w:t>
      </w:r>
    </w:p>
    <w:p>
      <w:r>
        <w:rPr>
          <w:b/>
        </w:rPr>
        <w:t>E. 3</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Dans la mesure où l'incapacité de travail de la recourante a débuté en 1995, ces principes de droit intertemporel commandent l'examen du bien-fondé de la décision sur opposition du 9 mars 2004 à la lumière des anciennes dispositions de la LAI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Le Tribunal de céans constate que le recours, interjeté dans les forme et délai légaux prévus par l’art. 60 LPGA est recevable.</w:t>
      </w:r>
    </w:p>
    <w:p>
      <w:r>
        <w:rPr>
          <w:b/>
        </w:rPr>
        <w:t>E. 5</w:t>
      </w:r>
    </w:p>
    <w:p>
      <w:r>
        <w:t>Aux termes de l'art. 4 LAI,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Selon l’art. 53 LPGA, les décisions et les décisions sur opposition formellement passées en force sont soumises à révision si l’assuré ou l’assureur découvre subséquemment des faits nouveaux importants ou trouve des moyens de preuve qui ne pouvaient être produits auparavant (al. 1). L’assureur peut revenir sur les décisions et les décisions sur opposition formellement passées en force lorsqu’elles sont manifestement erronées et que leur rectification revêt une importance notable (al. 2). Ainsi, si les conditions prévues à l'art. 17 LPGA font défaut, la décision de rente peut être éventuellement modifiée d'après les règles applicables à la reconsidération de décisions administratives passées en force. Conformément à l’art. 53 al. 2 LPGA, l'administration peut en tout temps revenir d'office sur une décision formellement passée en force de chose jugée et sur laquelle une autorité judiciaire ne s'est pas prononcée sous l'angle matériel, à condition qu'elle soit sans nul doute erronée et que sa rectification revête une importance notable.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Au regard de la sécurité juridique, une décision administrative entrée en force ne doit pouvoir être modifiée par le biais de la reconsidération que si elle se révèle manifestement erronée. Cette exigence évite que la reconsidération ne devienne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B. du 19 décembre 2002, I 222/02, consid. 3.2, et les références).</w:t>
      </w:r>
    </w:p>
    <w:p>
      <w:r>
        <w:rPr>
          <w:b/>
        </w:rPr>
        <w:t>E. 6</w:t>
      </w:r>
    </w:p>
    <w:p>
      <w:r>
        <w:t>Il convient en l’occurrence de déterminer si la décision initiale de l’OCAI (octroi d’une rente entière d’invalidité) peut être réexaminée par la voie de la révision ou par celle de la reconsidération. Pour que l’art. 17 LPGA s’applique, il faut que le taux d’invalidité ait subi une modification notable, après la décision initiale. En l’occurrence, force est de constater que les Drs D___________ (novembre 2001), E___________ (mars 2002), B___________ (mai et juin 2002), ainsi que les médecins du SMR LEMAN (août 2003) ont estimé que l’état de santé de la recourante était stationnaire par rapport à février 1998, date de l’octroi de la rente d’invalidité. Il est donc à l’évidence impossible de procéder à une révision selon l’art. 17 LPGA. Reste à établir si la décision initiale de l’OCAI peut être revue par la voie de la reconsidération. Il convient pour ce faire de déterminer si celle-ci était à l’époque manifestement erronée ou pas. Dans un ATFA non publié du 13 août 2003, en la cause I 790/01, le Tribunal fédéral des assurances (ci-après le TFA) a jugé que l’office de l’assurance-invalidité,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ATFA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du règlement sur l’assurance-invalidité - RAI). Or, s’il apparaît ultérieurement, à la suite d’une nouvelle analyse de la situation, que l’appréciation médicale du cas à l’époque était critiquable, cela ne rend pas pour autant la décision prise sur cette base comme étant manifestement erronée ». En l’occurrence, pour octroyer la rente, l’OCAI s’est basé sur des rapports des Drs B___________ et C___________ , qui concluaient tous deux à une incapacité totale de travail depuis le 7 août 1995, ainsi que sur un rapport d’enquête à domicile. Il y a lieu de relever que la mention par le Dr C___________ sur un formulaire pré-imprimé « il n’y a pas de contre-indication dans la profession exercée jusqu’alors » - bien que l’incapacité fut totale - aurait pu faire douter l’OCAI de l’incapacité de l’assurée. Cependant, si l’intimé avait questionné ce médecin, il lui aurait été répondu que cette remarque n’avait pas trait à la capacité de travail de la patiente –laquelle était nulle - mais signifiait que l’activité de bureau ne présentait pas de risque majeur pour elle (cf. courrier du 1 er septembre 2003 du Dr C___________ ). Ainsi, sur la base des deux certificats médicaux concordants - dont l’un émanait de la division de pneumologie des HUG -, et de l’enquête à domicile, conduite par une infirmière, l’OCAI pouvait légitimement considérer l’assurée comme totalement incapable de travailler dans toute activité. Peut-être aurait-il été opportun, à l’époque, de soumettre la recourante à une expertise médicale. Cependant, en présence de deux rapports médicaux aux conclusions similaires et d’un rapport d’enquête à domicile attestant d’un lourd taux d’empêchements ménagers (41%), l’on ne saurait considérer que l’instruction menée ait été alors lacunaire et que la décision prise fût manifestement erronée. Ainsi, en l’absence d’un motif de révision ou de reconsidération de la décision du 20 février 1998, la rente d’invalidité accordée à la recourante doit être maintenue. Au vu de ce qui précède, le recours, bien fondé, sera admis. Enfin, la recourante obtenant gain de cause aura droit à des dépens (art. 61 al. 1 let. d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