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A/818/2022 vom 21. März 2023</w:t>
      </w:r>
    </w:p>
    <w:p>
      <w:r>
        <w:t>GE Cour de justice, 2023-03-21, FR</w:t>
      </w:r>
    </w:p>
    <w:p>
      <w:r>
        <w:rPr>
          <w:b/>
        </w:rPr>
        <w:t xml:space="preserve">Quelle: </w:t>
      </w:r>
      <w:r>
        <w:t>https://mcp.opencaselaw.ch/entscheid/ge_gerichte_A_818_2022</w:t>
      </w:r>
    </w:p>
    <w:p>
      <w:r>
        <w:t>FR: GE_GERICHTE A/818/2022 du 21 mars 2023</w:t>
      </w:r>
    </w:p>
    <w:p>
      <w:r>
        <w:t>IT: GE_GERICHTE A/818/2022 del 21 marzo 2023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Au vu de ce qui précède, la demande du 10 mars 2022 est rejetée, dans la mesure de sa recevabilité. ![endif]&gt;![if&gt;</w:t>
      </w:r>
    </w:p>
    <w:p>
      <w:r>
        <w:rPr>
          <w:b/>
        </w:rPr>
        <w:t>E. 9</w:t>
      </w:r>
    </w:p>
    <w:p>
      <w:r>
        <w:t>Pour le surplus, il n'est pas alloué de dépens à la charge de la demanderesse (art. 22 al. 3 let. b de la loi d'application du code civil suisse et d’autres lois fédérales en matière civile du 11 octobre 2012 [LaCC - E 1 05]) ni perçu de frais judiciaires (art. 114 let. e CPC).![endif]&gt;![if&gt; PAR CES MOTIFS, LA CHAMBRE DES ASSURANCES SOCIALES 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