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A/817/2018 vom 14. Februar 2019</w:t>
      </w:r>
    </w:p>
    <w:p>
      <w:r>
        <w:t>GE Cour de justice, 2019-02-14, FR</w:t>
      </w:r>
    </w:p>
    <w:p>
      <w:r>
        <w:rPr>
          <w:b/>
        </w:rPr>
        <w:t xml:space="preserve">Quelle: </w:t>
      </w:r>
      <w:r>
        <w:t>https://mcp.opencaselaw.ch/entscheid/ge_gerichte_A_817_2018</w:t>
      </w:r>
    </w:p>
    <w:p>
      <w:r>
        <w:t>FR: GE_GERICHTE A/817/2018 du 14 février 2019</w:t>
      </w:r>
    </w:p>
    <w:p>
      <w:r>
        <w:t>IT: GE_GERICHTE A/817/2018 del 14 febbraio 2019</w:t>
      </w:r>
    </w:p>
    <w:p>
      <w:pPr>
        <w:pStyle w:val="Heading2"/>
      </w:pPr>
      <w:r>
        <w:t>Erwägungen</w:t>
      </w:r>
    </w:p>
    <w:p>
      <w:r>
        <w:rPr>
          <w:b/>
        </w:rPr>
        <w:t>E. 3</w:t>
      </w:r>
    </w:p>
    <w:p>
      <w:r>
        <w:t>ème Chambre En la cause Monsieur A______, domicilié à COLLONGE-BELLERIVE, comparant avec élection de domicile en l'étude de Maître Marc MATHEY-DORET recourant contre OFFICE DE L'ASSURANCE-INVALIDITÉ DU CANTON DE GENÈVE, sis rue des Gares 12, GENÈVE intimé et SWICA ORGANISATION DE SANTE, sise Römerstrasse 38, WINTERTHUR appelée en cause EN FAIT 1.        Le 20 février 2011, Monsieur A______ (ci-après l’assuré) a été victime d’un accident, à la suite duquel SWICA ORGANISATION DE SANTE (ci-après SWICA) a versé des prestations en sa qualité d’assurance-accidents et d’assurance-accidents complémentaire. ![endif]&gt;![if&gt; 2.        Le 25 novembre 2016, la CAISSE CANTONALE GENEVOISE DE COMPENSATION (CCGC) a informé SWICA que l’assuré avait droit à des rentes de l’assurance-invalidité pour la période de mai 2012 à décembre 2016, ce qui représentait un montant de CHF 55'718.-. SWICA était invitée à faire valoir une éventuelle demande de compensation. ![endif]&gt;![if&gt; 3.        Le 20 décembre 2016, SWICA a communiqué à l’assuré un calcul de surindemnisation. Selon elle, la surindemnisation dans le cadre de l’assurance complémentaire à l’assurance-accidents s’élevait à CHF 36'787.10. La compensation avec les paiements dus à titre rétroactif par l’assurance-invalidité permettrait d’éviter que l’assuré ne doive lui restituer ce montant. Dès lors, elle l’invitait à signer le formulaire à cet effet, qu’elle adresserait ensuite à la CCGC. ![endif]&gt;![if&gt; Dans ce document, SWICA indiquait avoir versé des avances en sa qualité d’assurance-accidents et d’assurance complémentaire accidents. SWICA a coché la case « Non » (sic) à la question de savoir si « La compensation [était] requise », tout en précisant plus loin que la compensation d’un montant de CHF 36'787.10 était requise pour la période du 21 février 2011 au 30 avril 2014. 4.        Le 12 janvier 2017, l’assuré a demandé des éclaircissements sur le calcul opéré par SWICA. ![endif]&gt;![if&gt; 5.        Le 17 janvier 2017, la CCGC a imparti à SWICA un délai pour donner suite à son courrier du 25 novembre 2016, à défaut de quoi elle annonçait qu’elle procéderait au paiement du montant rétroactif à l’assuré avec effet libératoire.![endif]&gt;![if&gt; 6.        Par courrier du 23 janvier 2017, l’assuré a exposé à l’Office cantonal de l’assurance-invalidité (ci-après : OAI) que la question du calcul de surindemnisation n’était pas résolue. Il invitait l’OAI à lui verser les prestations dues, cas échéant en bloquant la créance invoquée en compensation par SWICA. ![endif]&gt;![if&gt; 7.        Le 2 février 2017, SWICA a requis de la CCGC une prolongation du délai de remise du formulaire de demande de compensation, que l’assuré n’avait toujours pas signé. ![endif]&gt;![if&gt; 8.        Le 16 mars 2017, l’assuré a indiqué à SWICA qu’il constatait une différence de CHF 14'774.95 en sa défaveur dans le calcul de surindemnisation.![endif]&gt;![if&gt; 9.        Par courrier du 15 septembre 2017, SWICA lui a répondu en donnant plusieurs précisions concernant son calcul de surindemnisation. Elle attendait qu’il lui retourne le formulaire de compensation. ![endif]&gt;![if&gt; 10.    Par décision du 6 février 2018, l’OAI a reconnu à l’assuré le droit à un quart de rente de mai 2012 à novembre 2013, à une rente entière de décembre 2013 à mars 2014, à un quart de rente d’avril 2014 à décembre 2016 et à une rente entière dès le 1 er janvier 2017.![endif]&gt;![if&gt; Un montant de CHF 36'787.- était retenu en faveur de SWICA sur les prestations dues à titre rétroactif. 11.    Par écriture du 8 mars 2018, l’assuré a interjeté recours contre cette décision en concluant, sous suite de dépens, à son annulation en tant qu’elle admettait une retenue de CHF 36'787.- en faveur de SWICA. Il demande qu’il soit dit et constaté que cette retenue ne saurait dépasser CHF 14'912.-.![endif]&gt;![if&gt; Le recourant conteste les modalités du calcul de surindemnisation et fait remarquer que les prétentions de l’assurance-accidents au titre de la surindemnisation ont déjà été contestées auprès de cette dernière. 12.    Invité à se déterminer, l’intimé, dans sa réponse du 2 mai 2018, s’en est rapporté à la détermination de la CCGC.![endif]&gt;![if&gt; Celle-ci conclut au rejet du recours. Elle constate que SWICA a demandé la compensation, à hauteur de CHF 36'787.10, avec les avances versées en sa qualité d’assurance-accidents et d’assurance complémentaire, conformément à ses conditions générales d’assurance et considère que c’est de manière conforme au droit et aux dispositions contractuelles applicables qu’elle a procédé à ladite compensation. 13.    Par ordonnance du 8 mai 2018, la Cour de céans a appelé en cause SWICA et lui a accordé un délai pour se déterminer.![endif]&gt;![if&gt; 14.    Dans ses observations du 29 mai 2018, le recourant a persisté dans ses conclusions. Il reproche à l’intimé de n’avoir pas répondu à ses arguments et de s’être contenté de donner suite à la demande de compensation de l’appelée en cause, sans examiner si cette demande était fondée ou non.![endif]&gt;![if&gt; 15.    Par écriture du 29 mai 2018, l’appelée en cause a en substance confirmé son calcul de surindemnisation. ![endif]&gt;![if&gt; Elle explique devoir prendre en compte toute la période d’incapacité de travail, jusqu’au moment du passage à la rente de l’assurance-accidents, du 21 février 2011 au 30 avril 2014. 16.    Par écriture du 20 juin 2018, l’OAI s’en est une nouvelle fois rapporté à la détermination de la CGCC.![endif]&gt;![if&gt; Celle-ci maintient avoir à juste titre donné suite à la demande de l’appelée en cause. 17.    Par écriture du 12 juin 2018, le recourant a une nouvelle fois persisté dans ses conclusions. ![endif]&gt;![if&gt; Il constate que l’appelée en cause se limite à affirmer péremptoirement que son calcul de surindemnisation est exact, sans se prononcer sur le fond. Selon lui, le montant retenu au titre de surindemnisation ne saurait excéder CHF 14’912.-, conformément au principe de la connexité temporelle.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56ss LPGA).![endif]&gt;![if&gt; 3.        Le litige porte sur le bien-fondé de la compensation d’une partie des rentes dues au recourant par la créance invoquée par l'appelée en cause en sa qualité d’assurance complémentaire à l’assurance-accidents. ![endif]&gt;![if&gt; En effet, contrairement à ce que semble affirmer la CGCC, les prestations versées au titre de l’assurance-accidents ne font pas l’objet de la compensation requise par l’appelée en cause, si l’on se réfère au calcul opéré par cette dernière le 20 décembre 2016. Il convient de souligner que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Partant, il n’appartient pas à la Chambre de céans de statuer sur l’étendue de la compensation dans le cadre de la présente procédure. En effet, les objections contre le montant de la créance invoquée en compensation ne peuvent être soulevées dans la procédure devant l’OAI, mais doivent être dirigées directement contre l'organisme qui a fait valoir la compensation (arrêt du Tribunal fédéral 9C_225/2014 du 10 juillet 2014 consid. 3.3.1) 4.        Conformément à l’art. 68 LPGA, sous réserve de surindemnisation, les indemnités journalières et les rentes de différentes assurances sociales sont cumulées.![endif]&gt;![if&gt; L’art. 69 al. 2 LPGA dispose qu’il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Selon l’alinéa 1 er de cette disposition,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Aux termes de l’art. 69 al. 3 LPGA,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En cas de surindemnisation provenant du cumul d'indemnités journalières et d'une rente, ce sont les premières qui sont réduites jusqu'à concurrence de la limite de la surindemnisation (art. 69 al. 3 LPGA a contrario ; arrêt du Tribunal fédéral des assurances K 73/05 du 21 décembre 2005 consid. 2.2). 5.        En vertu de l’art. 22 LPGA,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(let. a) ; à l'assureur qui a pris provisoirement à sa charge des prestations (let. b) (al. 2).![endif]&gt;![if&gt; 6.        En vertu de l’art. 85 bis du règlement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![endif]&gt;![if&gt; Sont considérées comme une avance, les prestations librement consenties, que l'assuré s'est engagé à rembourser, pour autant qu'il ait convenu par écrit que l'arriéré serait versé au tiers ayant effectué l'avance (let. a) ; versées contractuellement ou légalement, pour autant que le droit au remboursement, en cas de paiement d'une rente, puisse être déduit sans équivoque du contrat ou de la loi (let. b) (al. 2). Les arrérages de rente peuvent être versés à l'organisme ayant consenti une avance jusqu'à concurrence, au plus, du montant de celle-ci et pour la période à laquelle se rapportent les rentes (al. c). De jurisprudence constante, les prestations des assurances d’indemnités journalières conclues par un employeur en faveur de son personnel conformément à la loi sur le contrat d'assurance (LCA - RS 221.229.1) sont des prestations au sens de l'art. 85 bis al. 2 RAI (arrêt du Tribunal fédéral 9C_926/2010 du 4 août 2011 consid. 4.2 et les références). Selon la pratique administrative, font partie des prestations contractuelles notamment celles qui sont versées sur la base des conditions générales d’une assurance collective pour des indemnités journalières, celles qui interviennent dans le cadre de l’assurance-accidents dans le domaine surobligatoire ou sur la base des statuts d’une caisse de pension (Directives concernant les rentes de l’assurance-vieillesse, survivants et invalidité fédérales [DR] dans leur état au 1 er janvier 2013, ch. 10068). 7.        L'art. 85 bis RAI n'est pas simplement destiné à protéger les intérêts publics en général. Il tend certes à favoriser une bonne coordination des assurances sociales, notamment par la prévention d'une surindemnisation pour une période pendant laquelle l'assuré reçoit rétroactivement une rente. Il vise cependant aussi à sauvegarder les intérêts de tiers qui ont versé des avances à l'assuré en attendant qu'il soit statué sur ses droits (arrêt du Tribunal fédéral 9C_926/2010 du 4 août 2011 consid. 3.2).![endif]&gt;![if&gt; Les avances librement consenties selon l'art. 85 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8.        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![endif]&gt;![if&gt;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9.        L’édition 2006 des Conditions générales de contrat (CGC) régissant l’assurance-accidents en complément à la LAA prévoient notamment à leur art. 8 al. 2 que l’indemnité journalière est réduite dans la mesure où, ajoutée aux prestations des assurances sociales, elle excède le gain dont on peut présumer que l’assuré se trouve privé. Le gain dont on peut présumer que l’assuré se trouve privé correspond à celui qu’il pourrait réaliser s’il n’avait pas subi le dommage. ![endif]&gt;![if&gt; 10.    En l’espèce, les indemnités perçues par le recourant au titre de l’assurance-accidents complémentaire ont été versées en vertu d’une police régie par la LCA (cf. art. 29 CGC). Partant, la compensation avec des rentes de l’assurance-invalidité obéit aux conditions prévues par l’art. 85 bis RAI.![endif]&gt;![if&gt; Il est constant que le recourant n’a pas signé le formulaire de compensation que lui a soumis l’appelée en cause. Certes, l'utilisation du formulaire spécial prévu à l'art. 85 bis al. 1 RAI est une prescription d'ordre (ATF 131 V 242 consid. 6.2). Ainsi, le tiers qui veut obtenir directement un paiement de prestations rétroactives de l’OAI peut établir l'accord du bénéficiaire de celles-ci par un autre moyen que le formulaire ad hoc (arrêt du Tribunal fédéral 9C_731/2010 du 20 juin 2011 consid. 4.4). L’appelée en cause n’allègue cependant pas que tel serait le cas, et elle ne produit aucune autre pièce dont on pourrait déduire l’accord du recourant. Il n’est du reste pas inutile de relever que la demande de compensation adressée par l’appelée en cause à la CGCC ne figure pas parmi les pièces produites par ces dernières et par l’intimé. A défaut d’accord du recourant, il convient de déterminer si la norme contractuelle invoquée par l’appelée en cause, soit l’art. 8 al. 2 CGA, lui confère un droit au remboursement par l’intimé. On peut en préambule rappeler que le Tribunal fédéral a nié l’existence d’un droit sans équivoque au remboursement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 En l’espèce, à l’aune de ces arrêts, force est de constater que la base contractuelle invoquée par l’appelée en cause à l’appui de sa prétention ne suffit nullement à lui conférer un droit sans équivoque à se faire rembourser directement par l’intimé les avances versées au recourant. En effet, l’art. 8 al. 2 CGC prévoit uniquement la réduction des indemnités journalières en cas de concours de prestations conduisant à une surindemnisation, du reste sans même expressément prévoir le remboursement des prestations déjà versées par l’assuré. A fortiori , on ne saurait en inférer un droit au versement des rentes d’invalidité directement à l’appelée en cause par l’intimé. Partant, la décision de ce dernier doit être annulée en tant qu’elle admet la demande de compensation de l’appelée en cause. 11.    Eu égard aux considérations qui précèdent, le recours est admis.![endif]&gt;![if&gt; Le recourant a droit à des dépens, qui seront fixés à CHF 2'000.- et seront supportés solidairement par l’intimé et l’appelée en cause (art. 61 let. g LPGA). En effet, cette dernière doit être considérée comme partie à la procédure et peut ainsi se voir imposer des dépens (cf. par analogie ATF 127 V 107 consid. 6b). Le litige ne portant pas sur l’octroi de prestations, la procédure est gratuite (art. 69 al. 1 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