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A/817/2010 vom 5. August 2010</w:t>
      </w:r>
    </w:p>
    <w:p>
      <w:r>
        <w:t>GE Cour de justice, 2010-08-05, FR</w:t>
      </w:r>
    </w:p>
    <w:p>
      <w:r>
        <w:rPr>
          <w:b/>
        </w:rPr>
        <w:t xml:space="preserve">Quelle: </w:t>
      </w:r>
      <w:r>
        <w:t>https://mcp.opencaselaw.ch/entscheid/ge_gerichte_A_817_2010</w:t>
      </w:r>
    </w:p>
    <w:p>
      <w:r>
        <w:t>FR: GE_GERICHTE A/817/2010 du 5 août 2010</w:t>
      </w:r>
    </w:p>
    <w:p>
      <w:r>
        <w:t>IT: GE_GERICHTE A/817/2010 del 5 agosto 2010</w:t>
      </w:r>
    </w:p>
    <w:p>
      <w:pPr>
        <w:pStyle w:val="Heading2"/>
      </w:pPr>
      <w:r>
        <w:t>Erwägungen</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l'occurrence, le recourant allègue d'une part que ses douleurs lombaires dont il souffre depuis le 5 mai 2009, sont en lien de causalité avec l'accident de 28 novembre 2007 d’une part et d'autre part qu'elles ne lui permettent plus d'effectuer les activités professionnelles habituelles. En effet, le Dr. L__________ relève notamment, par courrier du 9 juin 2009, que « on ne peut considérer la période suivant la reprise de travail du mois de novembre 2008, comme une phase asymptomatique suivie d’une rechute. Au contraire, il y a une continuité des symptômes depuis le jour de l’accident à aujourd’hui. »</w:t>
      </w:r>
    </w:p>
    <w:p>
      <w:r>
        <w:rPr>
          <w:b/>
        </w:rPr>
        <w:t>E. 6</w:t>
      </w:r>
    </w:p>
    <w:p>
      <w:r>
        <w:t>La SUVA quant à elle estime que les troubles lombaires ne sont pas dans un rapport de causalité avec l'accident du 28 novembre 2007. En effet, interpellé sur la question de la causalité, le Dr. R__________ relève, en date du 29 mai 2009, que la reprise spontanée de la lombosciatalgie en lien avec une incapacité de travail depuis le 5 mai 2009, n’est plus la probable conséquence de la simple contusion ou distorsion du 28 novembre 2007. Il s’agit plutôt d’un problème exclusivement pathologique lié à la discopathie préexistante sur les vertèbres lombaires. Celle-ci a été suite à l’accident seulement temporairement symptomatique. Une lésion traumatique n’a jamais été décelée sur les radiographies. En outre, il n’y a jamais eu de lésions neurologiques. Le Dr. R__________ conclut, avec une probabilité prépondérante, que, au plus tard le 1 er novembre 2008, le status quo sine était à nouveau atteint. Le Dr R__________ précise enfin que la prise en charge de la « récidive » doit être rejetée, en raison du fait que cela est de la compétence de l’assurance-maladie.</w:t>
      </w:r>
    </w:p>
    <w:p>
      <w:r>
        <w:rPr>
          <w:b/>
        </w:rPr>
        <w:t>E. 7</w:t>
      </w:r>
    </w:p>
    <w:p>
      <w:r>
        <w:t>Le Tribunal de céans ne peut ainsi que constater que la présente cause n'est pas en état d'être jugée à défaut de renseignements sur les troubles lombaires présentés par le recourant (à savoir à défaut notamment de renseignements sur la causalité naturelle desdits troubles avec l'accident, ainsi que de précisions sur le statu quo sine). Par conséquent, vu la jurisprudence susmentionnée, vu le doute résultant des avis médicaux divergents, il se justifie de commettre un expert qui devra déterminer si les troubles lombaires existants ont pour origine l'accident du 28 novembre 2007 si, le cas échéant, ils ont une répercussion sur la capacité de travail du recourant. L'expert devra également établir, en cas de causalité naturelle, si des activités sont adaptées aux problèmes de dos du recourant, et dans l'affirmative lesquelles et dans quelle proportion.</w:t>
      </w:r>
    </w:p>
    <w:p>
      <w:r>
        <w:rPr>
          <w:b/>
        </w:rPr>
        <w:t>E. 8</w:t>
      </w:r>
    </w:p>
    <w:p>
      <w:r>
        <w:t>A cet effet, le Tribunal confie le mandat d’expertise Dr. T__________, médecin spécialiste FMH en neurologie.</w:t>
      </w:r>
    </w:p>
    <w:p>
      <w:r>
        <w:rPr>
          <w:b/>
        </w:rPr>
        <w:t>E. 9</w:t>
      </w:r>
    </w:p>
    <w:p>
      <w:r>
        <w:t>En application des articles 38 et suivants de la loi sur la procédure administrative (LPA), un délai a été accordé aux parties pour se prononcer sur la désignation de l’expert et pour indiquer les questions particulières qu'elles souhaitent voir figurer dans la mission d'expertise élaborée par le Tribunal de céans.</w:t>
      </w:r>
    </w:p>
    <w:p>
      <w:r>
        <w:rPr>
          <w:b/>
        </w:rPr>
        <w:t>E. 10</w:t>
      </w:r>
    </w:p>
    <w:p>
      <w:r>
        <w:t>La SUVA a informé, par courrier du 26 juillet 2010, le Tribunal qu’elle n’avait aucun motif de récusation à faire valoir contre la désignation de l’expert et qu’elle adhérait au questionnaire compris dans la mission d’expertise.</w:t>
      </w:r>
    </w:p>
    <w:p>
      <w:r>
        <w:rPr>
          <w:b/>
        </w:rPr>
        <w:t>E. 11</w:t>
      </w:r>
    </w:p>
    <w:p>
      <w:r>
        <w:t>Pour sa part, le recourant a complété la mission d’expertise par des questions particulières qui ont été intégrées à ladite mission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