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A/816/2007 vom 22. Januar 2008</w:t>
      </w:r>
    </w:p>
    <w:p>
      <w:r>
        <w:t>GE Cour de justice, 2008-01-22, FR</w:t>
      </w:r>
    </w:p>
    <w:p>
      <w:r>
        <w:rPr>
          <w:b/>
        </w:rPr>
        <w:t xml:space="preserve">Quelle: </w:t>
      </w:r>
      <w:r>
        <w:t>https://mcp.opencaselaw.ch/entscheid/ge_gerichte_A_816_2007</w:t>
      </w:r>
    </w:p>
    <w:p>
      <w:r>
        <w:t>FR: GE_GERICHTE A/816/2007 du 22 janvier 2008</w:t>
      </w:r>
    </w:p>
    <w:p>
      <w:r>
        <w:t>IT: GE_GERICHTE A/816/2007 del 22 gennaio 2008</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29 janvier 2007 et statuant sur un état de fait juridiquement déterminant remontant à l'année 2002,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 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On ne saurait, certes, mettre sur le même pied un rapport d'expertise émanant d'un Centre d'observation médicale de l'AI (COMAI) - dont la jurisprudence a admis que l'impartialité et l'indépendance à l'égard de l'administration et de l'OFAS sont garantis (ATF 123 V 175 ) - et un rapport médical établi par le SMR;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(consid. 3.1; ATFA non publié du 24 août 2006, I 938/05, consid. 3.2).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n'est pas contesté que l'assurée ne peut plus exercer son travail de cuisinière . L'OCAI a retenu qu'elle pouvait en revanche travailler à 50% dans une activité adaptée à ses limitations et procédé à la comparaison des gains, puis au calcul du degré d'invalidité, compte tenu de son statut de ménagère mixte. L'assurée reproche à l'intimé de n'avoir procédé à aucune mesure d'instruction et de s'être borné à reprendre son calcul initial, alors que le Tribunal de céans, dans son arrêt du 5 septembre 2005, avait précisément annulé sa décision. Elle rappelle à cet égard qu'elle souffre d'atteintes objectives dûment constatées. Le Tribunal de céans constate que ces atteintes somatiques justifient l'incapacité de travail à 50%. Il est ainsi possible d'exiger de l'assurée qu'elle travaille dans une activité adaptée, soit à 50%, soit à plein temps avec un rendement à 50%, ce qui était du reste envisagé par son médecin traitant. Les Dr L__________ et M__________ ont par ailleurs diagnostiqué une fibromyalgie, ce qui a été confirmé par la Dresse N__________. Celle-ci a à cet égard conclu à une incapacité totale de travail depuis mai 2002. Il s'agit-là cependant d'une question de droit qu'il appartient au Tribunal de céans de trancher. Ce diagnostic ne suffit en effet pas à lui seul pour justifier l'octroi de prestations AI. La jurisprudence exige la présence manifeste d'une comorbidité psychiatrique d'une acuité et d'une durée importantes. Le Dr. L__________ a évoqué la présence d'un état anxio-dépressif. Il y a toutefois lieu de rappeler à cet égard que s'agissant des troubles dépressifs, selon la doctrine médicale (cf. notamment DILLING/MOMBOUR/SCHMIDT [Hrsg.], Internationale Klassifikation psychischer Störungen, ICD-10 Kapitel V [F], 4 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On ne saurait dès lors considérer que l'assurée souffre d'une comorbidité psychiatrique grave et durable.</w:t>
      </w:r>
    </w:p>
    <w:p>
      <w:r>
        <w:rPr>
          <w:b/>
        </w:rPr>
        <w:t>E. 11</w:t>
      </w:r>
    </w:p>
    <w:p>
      <w:r>
        <w:t>Se pose dès lors, en l'absence de comorbidité psychiatrique, la question de la présence éventuelle d'autres critères dont le cumul permet d'apprécier le caractère invalidant de la fibromyalgie. Certes l'existence d'affections corporelles chroniques a-t-elle été établie, l'assurée ne subit cependant pas de perte d'intégration sociale dans toutes les manifestations de la vie, puisqu'elle vit avec son mari, décrit par la Dresse N__________ comme étant "soutenant" et son couple étant, selon ses propres déclarations, "harmonieux et uni", ce, bien que "la labilité de l'humeur et l'hypersensibilité aux critiques peuvent poser problème au niveau des contacts interpersonnels". La Dresse N__________ a, il est vrai, relevé que les traitements médicamenteux (antidépresseur notamment) prescrits par le médecin traitant sont restés sans effet. Il n'y a toutefois pas lieu de conclure à l'existence d'un état psychique cristallisé, s'agissant d'un état dépressif moyen. On ne saurait davantage observer l'échec des traitements ambulatoires ou stationnaires conformes aux règles de l'art sans évolution possible au plan thérapeutique. Au vu de l'ensemble de ces éléments, et en dépit du caractère chronique des douleurs de l'assurée, dont on ne saurait contester l'existence, l'on doit en revanche nier, d'un point de vue juridique, le caractère invalidant de la fibromyalgie. En conclusion, l'assurée présente une capacité de travail à 50% dans le cadre d'une activité adaptée à ses handicaps, soit dans le cadre d'une activité autre que celle de cuisinière.</w:t>
      </w:r>
    </w:p>
    <w:p>
      <w:r>
        <w:rPr>
          <w:b/>
        </w:rPr>
        <w:t>E. 12</w:t>
      </w:r>
    </w:p>
    <w:p>
      <w:r>
        <w:t>Reste à déterminer son degré d'invalidité.</w:t>
      </w:r>
    </w:p>
    <w:p>
      <w:r>
        <w:rPr>
          <w:b/>
        </w:rPr>
        <w:t>E. 13</w:t>
      </w:r>
    </w:p>
    <w:p>
      <w:r>
        <w:t>Selon l'art. 28 al. 1 LAI dans sa teneur en vigueur jusqu'au 31 décembre 2003,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A titre préalable, il faut examiner quelle méthode d'évaluation de l’invalidité il convient d'appliquer (art. 28 LAI, en corrélation avec les art. 27ss RAI). Le choix de la méthode d'évaluation de l'invalidité (méthode générale de comparaison des revenus, méthode mixte, méthode spécifique) dépend du statut du bénéficiaire potentiel de la rente : assuré exerçant une activité lucrative à temps complet, assuré exerçant une activité lucrative à temps partiel, assuré non actif.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RAI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Lorsqu’il y a lieu d’admettre pour les assurés qui exercent une activité lucrative à temps partiel ou qui travaillent dans l’entreprise de leur conjoint sans être rémunérés,que s’ils ne souffraient d’aucune atteinte à la santé, ils exerceraient, au moment de l’examen de leur droit à la rente, une activité lucrative à temps complet, l’invalidité est évaluée exclusivement selon les principes applicables aux personnes exerçant une activité lucrative.</w:t>
      </w:r>
    </w:p>
    <w:p>
      <w:r>
        <w:rPr>
          <w:b/>
        </w:rPr>
        <w:t>E. 14</w:t>
      </w:r>
    </w:p>
    <w:p>
      <w:r>
        <w:t>En l'espèce, l'OCAI a considéré que l'assurée aurait exercé, sans l'atteinte à la santé, une activité lucrative à 50%, ce qui n'est pas contesté. Le calcul du degré d'invalidité a dès lors été établi sur la base de la comparaison des revenus et une incapacité de travail de 50% pour la part qui aurait été consacrée à une activité lucrative, soit à 50%, et de l'empêchement à accomplir les travaux ménagers de 12,75%, pour la part de non-active.</w:t>
      </w:r>
    </w:p>
    <w:p>
      <w:r>
        <w:rPr>
          <w:b/>
        </w:rPr>
        <w:t>E. 15</w:t>
      </w:r>
    </w:p>
    <w:p>
      <w:r>
        <w:t>En l'espèce, le calcul auquel a procédé l'OCAI s'agissant de la comparaison des revenus, est conforme aux dispositions légales et réglementaires applicables, ainsi qu'à la jurisprudence du TFA.</w:t>
      </w:r>
    </w:p>
    <w:p>
      <w:r>
        <w:rPr>
          <w:b/>
        </w:rPr>
        <w:t>E. 16</w:t>
      </w:r>
    </w:p>
    <w:p>
      <w:r>
        <w:t>L'assurée conteste le taux d'abattement supplémentaire de 20% retenu par l'OCAI, estimant qu'il devrait être de 25%.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le Tribunal de céans est d'avis que le taux d'abattement supplémentaire de 20% retenu par l'OCAI est, au vu de la jurisprudence susmentionnée, adéquat. Le taux d'invalidité pour la part professionnelle est en conséquence de 47%. De l'enquête ménagère réalisée le 7 novembre 2006, il résulte un degré d'empêchement à accomplir les travaux habituels de 29%. L'assurée conteste les résultats obtenus dans chacun des postes, en procédant à la comparaison avec ce qui avait été dit lors de la première enquête. Elle considère qu'il se justifierait de prendre un taux de 71% en considération. Elle reproche essentiellement à l'OCAI de n'avoir pas suffisamment tenu compte de l'aide apportée par son époux. Lors de son audition le 11 décembre 2007, l'enquêtrice a expliqué de quelle façon elle avait inclus l'aide apportée par l'époux dans ses calculs et a confirmé les chiffres indiqués, à l'exception du taux de pondération retenu pour la rubrique intitulée "divers" et comprenant en l'espèce les tâches consacrées au jardin familial et le tricot, ainsi que la garde des petits-enfants. En corrigeant le premier des deux postes sur la base des déclarations de l'enquêtrice, on obtient un degré d'empêchement à accomplir les travaux ménagers de 33%, ce qui donne un degré d'invalidité de 40% au lieu de 38%. Un tel taux donne droit à un quart de rente. Il n'est pas nécessaire de procéder à une nouvelle évaluation s'agissant de la rubrique relative à la garde des petits-enfants, le nouveau degré d'invalidité qui serait sur cette base calculé n'atteindrait quoi qu'il en soi pas le degré de 50% à partir duquel l'assurée pourrait prétendre à une demi-rente. Aussi le recours est-il partiellement admis et le droit à un quart de rente reconnu à l'assurée depuis mai 2003 (art. 29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