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A/813/2024 vom 28. März 2024</w:t>
      </w:r>
    </w:p>
    <w:p>
      <w:r>
        <w:t>GE Cour de justice, 2024-03-28, FR</w:t>
      </w:r>
    </w:p>
    <w:p>
      <w:r>
        <w:rPr>
          <w:b/>
        </w:rPr>
        <w:t xml:space="preserve">Quelle: </w:t>
      </w:r>
      <w:r>
        <w:t>https://mcp.opencaselaw.ch/entscheid/ge_gerichte_A_813_2024</w:t>
      </w:r>
    </w:p>
    <w:p>
      <w:r>
        <w:t>FR: GE_GERICHTE A/813/2024 du 28 mars 2024</w:t>
      </w:r>
    </w:p>
    <w:p>
      <w:r>
        <w:t>IT: GE_GERICHTE A/813/2024 del 28 marzo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loi fédérale du 6 octobre 2000 sur la partie générale du droit des assurances sociales (LPGA) s’appliquent à l’assurance-accidents, à moins que la présente loi ne déroge expressément à la LPGA</w:t>
      </w:r>
    </w:p>
    <w:p>
      <w:r>
        <w:rPr>
          <w:b/>
        </w:rPr>
        <w:t>E. 3</w:t>
      </w:r>
    </w:p>
    <w:p>
      <w:r>
        <w:t>Interjeté dans la forme et le délai prévus par la loi, le recours est prima facie recevable (art. 56 et 60 de la LPGA ; art. 89B de la loi sur la procédure administrative du 12 septembre 1985 [LPA-GE - E 5 10]).</w:t>
      </w:r>
    </w:p>
    <w:p>
      <w:r>
        <w:rPr>
          <w:b/>
        </w:rPr>
        <w:t>E. 4.1</w:t>
      </w:r>
    </w:p>
    <w:p>
      <w:r>
        <w:t>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w:t>
      </w:r>
    </w:p>
    <w:p>
      <w:r>
        <w:rPr>
          <w:b/>
        </w:rPr>
        <w:t>E. 4.2</w:t>
      </w:r>
    </w:p>
    <w:p>
      <w:r>
        <w:t>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la demande de restitution de l'effet suspensif est traitée sans délai.</w:t>
      </w:r>
    </w:p>
    <w:p>
      <w:r>
        <w:rPr>
          <w:b/>
        </w:rPr>
        <w:t>E. 4.3</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w:t>
      </w:r>
    </w:p>
    <w:p>
      <w:r>
        <w:rPr>
          <w:b/>
        </w:rPr>
        <w:t>E. 4.4</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 Hansjörg SEILER, in Praxiskommentar zum VwVG ,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 arrêt du Tribunal fédéral 9C_207/2014 du 1 er mai 2014 consid. 5.3).</w:t>
      </w:r>
    </w:p>
    <w:p>
      <w:r>
        <w:rPr>
          <w:b/>
        </w:rPr>
        <w:t>E. 5.1</w:t>
      </w:r>
    </w:p>
    <w:p>
      <w:r>
        <w:t>Selon l’art. 43 LPGA, l’assureur examine les demandes, prend d’office les mesures d’instruction nécessaires et recueille les renseignements dont il a besoin. Les renseignements donnés oralement doivent être consignés par écrit (al. 1) ; l’assureur détermine la nature et l’étendue de l’instruction nécessaire (al. 1 bis ) ; l’assuré doit se soumettre à des examens médicaux ou techniques si ceux-ci sont nécessaires à l’appréciation du cas et qu’ils peuvent être raisonnablement exigés (al. 2) ;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rPr>
          <w:b/>
        </w:rPr>
        <w:t>E. 5.2</w:t>
      </w:r>
    </w:p>
    <w:p>
      <w:r>
        <w:t>Selon l’art. 55 al. 2 OLAA, l’assuré ou ses survivants doivent donner tous les renseignements nécessaires et tenir à disposition les pièces qui servent à déterminer les circonstances et les suites de l’accident et à fixer les prestations d’assurance, en particulier les rapports médicaux, les rapports d’expertises, les radiographies et les pièces permettant de déterminer le gain de l’assuré.110 Ils doivent autoriser des tiers à fournir de tels documents et à donner des renseignements (al. 1) ; l’assuré doit se soumettre à d’autres mesures d’investigation ordonnées par l’assureur en vue d’un diagnostic et de la fixation des prestations, en particulier aux examens médicaux que l’on peut raisonnablement lui imposer. Ne sont pas raisonnablement exigibles les mesures médicales qui représentent un danger pour la vie ou la santé de l’assuré (al. 2).</w:t>
      </w:r>
    </w:p>
    <w:p>
      <w:r>
        <w:rPr>
          <w:b/>
        </w:rPr>
        <w:t>E. 5.3</w:t>
      </w:r>
    </w:p>
    <w:p>
      <w:r>
        <w:t>Les conséquences procédurales prévues en cas de violation de l’obligation de renseigner ou de collaborer n’entrent en considération que si le comportement de la personne assurée peut être qualifié d’inexcusable. Tel est le cas lorsqu’aucun motif légitime n’est perceptible ou lorsque le comportement de la personne assurée apparait comme totalement incompréhensible. Il en va différemment lorsque la personne assurée n’est pas en mesure, en raison d’une maladie ou pour d’autres motifs, de donner suite aux mesures ordonnées ou refuse de se soumettre à une nouvelle expertise, parce que le dossier contient déjà une expertise conforme aux exigences de la jurisprudence (arrêt du Tribunal fédéral U 571/2006 du 29 mai 2007 ; DUPONT / MOSER-SZELESS, Commentaire romand, Loi sur la partie générale des assurances sociales, édition 2018, n. 51, p. 544).</w:t>
      </w:r>
    </w:p>
    <w:p>
      <w:r>
        <w:rPr>
          <w:b/>
        </w:rPr>
        <w:t>E. 6</w:t>
      </w:r>
    </w:p>
    <w:p>
      <w:r>
        <w:t>En l’occurrence, il se justifie de restituer l’effet suspensif au recours, dès lors que le recourant, selon toute vraisemblance, obtiendra gain de cause sur le fond, singulièrement sur la question du bien-fondé de la suppression des prestations au 30 septembre 2023 pour défaut de collaboration.</w:t>
      </w:r>
    </w:p>
    <w:p>
      <w:r>
        <w:rPr>
          <w:b/>
        </w:rPr>
        <w:t>E. 6.1</w:t>
      </w:r>
    </w:p>
    <w:p>
      <w:r>
        <w:t>L’arrêt de la chambre de céans du 2 décembre 2019, devenu définitif, dit, dans son dispositif, que les troubles neuropsychologiques et psychiques dont souffre le recourant sont en lien de causalité avec l’accident et que ce dernier a droit, postérieurement au 1 er novembre 2017, au versement de prestations temporaires pour ces troubles. La cause a été renvoyée à l’intimée pour instruction des atteintes orthopédiques, puis détermination du droit du recourant à une rente complémentaire d’invalidité et à une IPAI. La chambre de céans a considéré que l’expertise pluridisciplinaire du I______, comprenant les volets psychiatrique, neurologique et neuropsychologique était probante. Selon celle-ci, le recourant présentait une capacité de travail nulle comme agent de sécurité et de 50% dans une activité adaptée, soit une activité à faible responsabilité, au sein d’une petite équipe, n’impliquant pas ou peu de contact avec la clientèle et ne le plaçant pas en situation de rythme de travail imposé, ceci afin de permettre l’aménagement de pauses, un fractionnement des horaires et une surveillance, par un tiers responsable, de ses productions. Le tableau paraissait stabilisé et ne devait plus évoluer de façon significative. Au demeurant, une instruction complémentaire n’a été jugée nécessaire par la chambre de céans que concernant l’aspect orthopédique, à l’exclusion des volets psychiatrique, neuropsychologique et neurologique. En particulier, le renvoi à l’intimée pour calculer à nouveau l’IPAI n’a pas été conditionné à une nouvelle expertise psychiatrique, la chambre de céans ayant uniquement précisé qu’il incombait à l’intimée d’effectuer une nouvelle évaluation globale, tenant compte des aspects psychiatrique, neuropsychologique et, le cas échéant, après instruction complémentaire, orthopédique.</w:t>
      </w:r>
    </w:p>
    <w:p>
      <w:r>
        <w:rPr>
          <w:b/>
        </w:rPr>
        <w:t>E. 6.2</w:t>
      </w:r>
    </w:p>
    <w:p>
      <w:r>
        <w:t>Dans ces conditions, l’imposition au recourant d’une nouvelle expertise pluridisciplinaire, psychiatrique, neurologique et neuropsychologique n’est pas justifiée. Elle l’est d’autant moins qu’aucun élément nouveau n’est avancé par l’intimée pour justifier une nouvelle appréciation médicale.</w:t>
      </w:r>
    </w:p>
    <w:p>
      <w:r>
        <w:rPr>
          <w:b/>
        </w:rPr>
        <w:t>E. 6.2.1</w:t>
      </w:r>
    </w:p>
    <w:p>
      <w:r>
        <w:t>Au contraire, Madame F______ a confirmé, dans ses appréciations des 30 janvier et 23 mai 2023, que l’état du recourant était stable depuis plusieurs années, ce que les spécialistes consultés par l’intimée, le Dr Q______ et Madame R______, ont également confirmé. Le Dr Q______ a indiqué qu’il ne semblait pas y avoir de fait nouveau, l’état étant considéré comme stabilisé en 2016 (avec un conditionnel sur l’éventualité d’un progrès) et Madame R______ a souligné que le cas était stabilisé depuis de nombreuses années, au plus tard depuis l’expertise neuropsychologique d’août 2016.</w:t>
      </w:r>
    </w:p>
    <w:p>
      <w:r>
        <w:rPr>
          <w:b/>
        </w:rPr>
        <w:t>E. 6.2.1.1</w:t>
      </w:r>
    </w:p>
    <w:p>
      <w:r>
        <w:t>En particulier, Madame R______ s’est principalement attachée à mettre en cause la valeur probante de l’expertise du I______ et à proposer, pour ce motif, une nouvelle expertise pluridisciplinaire. Or, à cet égard, selon la jurisprudence (arrêt du Tribunal fédéral 9C_1012/2008 du 30 juin 2009 consid. 3.2.2 et la référence citée), le devoir de prendre d'office les mesures d'instruction nécessaires à l'appréciation du cas au sens de l'art. 43 al. 1 LPGA ne comprend pas le droit de l'assureur de recueillir une « seconde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(KIESER, ATSG-Kommentar , 2 ème éd., n. 12 et 17 ad art. 43 LPGA).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façon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(ATF 125 V 351 consid. 3a p. 352 ; arrêt du Tribunal fédéral 8C_667/2012 du 12 juin 2013 consid. 4.2). En l’occurrence, l’arrêt de la chambre de céans du 2 décembre 2019 a précisément considéré que l’expertise du I______ était probante, de sorte qu’une nouvelle expertise pluridisciplinaire, telle que la conçoit l’intimée, doit être qualifiée de seconde opinion non autorisée.</w:t>
      </w:r>
    </w:p>
    <w:p>
      <w:r>
        <w:rPr>
          <w:b/>
        </w:rPr>
        <w:t>E. 6.2.1.2</w:t>
      </w:r>
    </w:p>
    <w:p>
      <w:r>
        <w:t>Madame R______ a subsidiairement indiqué que les connaissances sur l’évaluation de l’effort et la validité des symptômes avaient évolué, ce qui n’est cependant pas un motif suffisant pour soumettre le recourant à une nouvelle expertise pluridisciplinaire. Enfin, on ne voit pas en quoi la nouvelle IRM cérébrale évoquée par Madame R______ serait pertinente, la causalité entre les troubles neuropsychologiques et psychiques ayant déjà été admise.</w:t>
      </w:r>
    </w:p>
    <w:p>
      <w:r>
        <w:rPr>
          <w:b/>
        </w:rPr>
        <w:t>E. 6.2.2</w:t>
      </w:r>
    </w:p>
    <w:p>
      <w:r>
        <w:t>Enfin, comme relevé par le recourant, le Dr P______ n’a pas du tout tenu compte du dossier médical, puisqu’il propose une expertise pluridisciplinaire au motif qu’aucune expertise neuropsychologique ou multidisciplinaire n’est présente au dossier, ignorant totalement le rapport d’expertise pluridisciplinaire du I______. L’intimée n’a même pas pris la peine d’attirer son attention sur cette erreur, ce qui aurait éventuellement permis d’obtenir un avis probant de son médecin-conseil.</w:t>
      </w:r>
    </w:p>
    <w:p>
      <w:r>
        <w:rPr>
          <w:b/>
        </w:rPr>
        <w:t>E. 6.3</w:t>
      </w:r>
    </w:p>
    <w:p>
      <w:r>
        <w:t>Au vu de ce qui précède, les avis médicaux invoqués ne permettent pas de justifier la nécessité d’une nouvelle expertise pluridisciplinaire, laquelle apparait comme un procédé permettant à l’intimée de mettre en cause l’expertise du I______ jugée probante par la chambre de céans et d’obtenir une seconde opinion, qui n’est pas autorisé. On ne saurait, dans ces conditions, considérer que le refus du recourant est inexcusable au sens de l’art. 43 LPGA ou que l’expertise pluridisciplinaire peut raisonnablement lui être imposée au sens de l’art. 55 OLAA. La suppression des prestations au 30 septembre 2023 pour défaut de collaboration du recourant est, ainsi, sans aucun doute, injustifiée.</w:t>
      </w:r>
    </w:p>
    <w:p>
      <w:r>
        <w:rPr>
          <w:b/>
        </w:rPr>
        <w:t>E. 7</w:t>
      </w:r>
    </w:p>
    <w:p>
      <w:r>
        <w:t>En conséquence, la restitution de l’effet suspensif au recours est admise et le fond est réservé. Une indemnité de procédure de CHF 2'000.- sera allouée au recourant qui obtient, sur incident, gain de cause (art. 61 let. g LPGA ; art. 6 du règlement sur les frais, émolument et indemnités en matière administrative du 30 juillet 1986 [RFPA – E 5 10.03]). Pour le surplus, la procédure est gratuite (art. 61 let. f bis LPGA a contrario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