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A/811/2004 vom 9. November 2004</w:t>
      </w:r>
    </w:p>
    <w:p>
      <w:r>
        <w:t>GE Cour de justice, 2004-11-09, FR</w:t>
      </w:r>
    </w:p>
    <w:p>
      <w:r>
        <w:rPr>
          <w:b/>
        </w:rPr>
        <w:t xml:space="preserve">Quelle: </w:t>
      </w:r>
      <w:r>
        <w:t>https://mcp.opencaselaw.ch/entscheid/ge_gerichte_A_811_2004</w:t>
      </w:r>
    </w:p>
    <w:p>
      <w:r>
        <w:t>FR: GE_GERICHTE A/811/2004 du 9 novembre 2004</w:t>
      </w:r>
    </w:p>
    <w:p>
      <w:r>
        <w:t>IT: GE_GERICHTE A/811/2004 del 9 novembre 2004</w:t>
      </w:r>
    </w:p>
    <w:p>
      <w:pPr>
        <w:pStyle w:val="Heading2"/>
      </w:pPr>
      <w:r>
        <w:t>Regeste</w:t>
      </w:r>
    </w:p>
    <w:p>
      <w:r>
        <w:t>DROIT DE PREEMPTION; LOGEMENT SOCIAL; GARANTIE DE LA PROPRIETE; LIBERTE ECONOMIQUE; SUBSIDIARITE; PROPORTIONNALITE; POUVOIR D'EXAMEN; INTERET PUBLIC | Recours de la commune contre le refus du Conseil d'Etat de lui permettre l'exercice du droit de préemption prévu par l'art. 3 al. 1 LGL dans le but d'acquérir la parcelle pour y construire un EMS et des logements. Selon le Conseil d'Etat, seuls les logements exhaustivement énumérés par l'art. 16 LGL seraient admis par l'art. 3 al. 1 LGL. Interprétation confirmée par le Tribunal administratif. | LGL.3 al.1; LGL.9 al.1; LGL.16; LGL.26 litt.c; CST.26; CST.27; CST.36 al.1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la qualité de la recourante, aucun émolument ne sera perçu.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