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A/810/2023 vom 20. Juni 2023</w:t>
      </w:r>
    </w:p>
    <w:p>
      <w:r>
        <w:t>GE Cour de justice, 2023-06-20, FR</w:t>
      </w:r>
    </w:p>
    <w:p>
      <w:r>
        <w:rPr>
          <w:b/>
        </w:rPr>
        <w:t xml:space="preserve">Quelle: </w:t>
      </w:r>
      <w:r>
        <w:t>https://mcp.opencaselaw.ch/entscheid/ge_gerichte_A_810_2023</w:t>
      </w:r>
    </w:p>
    <w:p>
      <w:r>
        <w:t>FR: GE_GERICHTE A/810/2023 du 20 juin 2023</w:t>
      </w:r>
    </w:p>
    <w:p>
      <w:r>
        <w:t>IT: GE_GERICHTE A/810/2023 del 20 giugno 2023</w:t>
      </w:r>
    </w:p>
    <w:p>
      <w:pPr>
        <w:pStyle w:val="Heading2"/>
      </w:pPr>
      <w:r>
        <w:t>Erwägungen</w:t>
      </w:r>
    </w:p>
    <w:p>
      <w:r>
        <w:rPr>
          <w:b/>
        </w:rPr>
        <w:t>E. 2</w:t>
      </w:r>
    </w:p>
    <w:p>
      <w:r>
        <w:t>Dans un premier grief, les recourants se plaignent d’une violation de leur droit d’être entendus, la décision n’étant pas motivée.![endif]&gt;![if&gt;</w:t>
      </w:r>
    </w:p>
    <w:p>
      <w:r>
        <w:rPr>
          <w:b/>
        </w:rPr>
        <w:t>E. 2.1</w:t>
      </w:r>
    </w:p>
    <w:p>
      <w:r>
        <w:t>La jurisprudence du Tribunal fédéral en matière de droits constitutionnels a déduit du droit d’être entendu le droit d’obtenir une décision motivée (ATF 142 II 154 consid. 4.2 ; 141 V 557 consid. 3.2.1).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146 II 335 consid. 5.1 ; 143 III 65 consid. 5.2).![endif]&gt;![if&gt;</w:t>
      </w:r>
    </w:p>
    <w:p>
      <w:r>
        <w:rPr>
          <w:b/>
        </w:rPr>
        <w:t>E. 2.2</w:t>
      </w:r>
    </w:p>
    <w:p>
      <w:r>
        <w:t>En l’espèce, la décision comprend une motivation. Référence est en effet faite aux art. 7, 58 et 59 LDFR, l’autorité intimée mentionnant qu’aucune des exceptions de l’art. 59 LDFR n’est remplie. Les recourants d’ailleurs ont pu se rendre compte de la portée de la décision et développer une argumentation détaillée dans leur recours. Le grief sera en conséquence écarté.![endif]&gt;![if&gt;</w:t>
      </w:r>
    </w:p>
    <w:p>
      <w:r>
        <w:rPr>
          <w:b/>
        </w:rPr>
        <w:t>E. 3</w:t>
      </w:r>
    </w:p>
    <w:p>
      <w:r>
        <w:t>Les recourants reprochent à l’autorité intimée d’avoir violé les art. 19 et 20 LPA et de ne pas avoir instruit le dossier.![endif]&gt;![if&gt;</w:t>
      </w:r>
    </w:p>
    <w:p>
      <w:r>
        <w:rPr>
          <w:b/>
        </w:rPr>
        <w:t>E. 3.1</w:t>
      </w:r>
    </w:p>
    <w:p>
      <w:r>
        <w:t>L’autorité établit les faits d’office. Elle n’est pas limitée par les allégués et les offres de preuves des parties (art. 19 LPA).![endif]&gt;![if&gt; À teneur de l’art. 20 LPA, l’autorité réunit les renseignements et procède aux enquêtes nécessaires pour fonder sa décision (al. 1). Elle apprécie les moyens de preuve des parties. Elle recourt s’il y a lieu aux moyens de preuve suivants : a) documents ; b) interrogatoires et renseignements des parties ; c) témoignages et renseignements de tiers ; d) examen par l’autorité ; e) expertise.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présente loi relatives aux témoignages sont réservées (al. 2).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présente loi relatives aux témoignages sont réservées (al. 3).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principe de l’instruction d’office est contrebalancé par le devoir de collaboration des parties qui sont tenues de collaborer à la constatation des faits dans les procédures qu’elles introduisent elles-mêmes (Thierry TANQUEREL, Manuel de droit administratif, n° 1'560).</w:t>
      </w:r>
    </w:p>
    <w:p>
      <w:r>
        <w:rPr>
          <w:b/>
        </w:rPr>
        <w:t>E. 3.2</w:t>
      </w:r>
    </w:p>
    <w:p>
      <w:r>
        <w:t>En l’espèce, la décision de la CFA fait suite à une requête déposée par l’un des recourants. Ainsi, d’une part, les intéressés ne peuvent reprocher à l’autorité intimée de ne pas avoir suffisamment instruit le dossier, d’autre part, les faits qu’ils reprochent à l’autorité de ne pas avoir instruits ne sont pas pertinents conformément aux considérants qui suivent.![endif]&gt;![if&gt;</w:t>
      </w:r>
    </w:p>
    <w:p>
      <w:r>
        <w:rPr>
          <w:b/>
        </w:rPr>
        <w:t>E. 4</w:t>
      </w:r>
    </w:p>
    <w:p>
      <w:r>
        <w:t>Les recourants allèguent que la vente de la parcelle n° 709 ne constitue pas le démantèlement d’une entreprise agricole proscrit par la loi. ![endif]&gt;![if&gt;</w:t>
      </w:r>
    </w:p>
    <w:p>
      <w:r>
        <w:rPr>
          <w:b/>
        </w:rPr>
        <w:t>E. 4.1</w:t>
      </w:r>
    </w:p>
    <w:p>
      <w:r>
        <w:t>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a).![endif]&gt;![if&gt; Aux termes de son art. 2 al. 1 LDFR, la loi s'applique aux immeubles agricoles isolés ou aux immeubles agricoles faisant partie d'une entreprise agricole : qui sont situés en dehors d'une zone à bâtir au sens de l'art. 15 LAT (let. a), et dont l'utilisation agricole est licite (let. b). Selon l'art. 6 al. 1 LDFR, est agricole l'immeuble approprié à un usage agricole ou horticole. En vertu de l'art. 7 LDFR, par entreprise agricole, on entend une unité composée d'immeubles, de bâtiments et d'installations agricoles qui sert de base à la production agricole et qui exige, dans les conditions d'exploitation usuelles dans le pays, au moins une unité de main-d'œuvre standard ; le Conseil fédéral fixe, conformément au droit agraire, les facteurs et les valeurs servant au calcul de l'unité de main-d'œuvre standard (al. 1).</w:t>
      </w:r>
    </w:p>
    <w:p>
      <w:r>
        <w:rPr>
          <w:b/>
        </w:rPr>
        <w:t>E. 4.2</w:t>
      </w:r>
    </w:p>
    <w:p>
      <w:r>
        <w:t>Aucun immeuble ou partie d’immeuble ne peut être soustrait à une entreprise agricole (interdiction de partage matériel ; art. 58 al. 1 LDFR).![endif]&gt;![if&gt; L’art. 59 LDFR prévoit des exceptions : les interdictions de partage matériel et de morcellement ne sont pas applicables aux divisions effectuées : a) dans le cadre d’améliorations foncières opérées avec le concours de l’autorité ; b) dans le but d’améliorer des limites (art. 57) ou de les rectifier en cas de construction d’un ouvrage ; c) à la suite d’une expropriation ou d’une vente de gré à gré lorsque le vendeur est menacé d’expropriation ; d) dans le cadre d’une réalisation forcée.</w:t>
      </w:r>
    </w:p>
    <w:p>
      <w:r>
        <w:rPr>
          <w:b/>
        </w:rPr>
        <w:t>E. 4.3</w:t>
      </w:r>
    </w:p>
    <w:p>
      <w:r>
        <w:t>L’art. 60 al. 1 LDFR prévoit des autorisations exceptionnelles : l’autorité cantonale compétente autorise des exceptions aux interdictions de partage matériel et de morcellement quand : a) l’entreprise ou l’immeuble agricole est divisé en une partie qui relève du champ d’application de la LDFR et en une autre qui n’en relève pas ; b) abrogé ; c) des immeubles ou parties d’immeubles d’une entreprise agricole sont échangés, avec ou sans soulte, contre des terres, des bâtiments ou des installations mieux situés pour l’exploitation ou mieux adaptés à celle-ci ; d) la partie à séparer sert à arrondir un immeuble non agricole situé en dehors de la zone à bâtir, si ce moyen n’a pas déjà été utilisé. L’immeuble non agricole peut être agrandi de ce fait de 1’000 m 2 au plus ; e) un bâtiment agricole, y compris l’aire environnante requise, qui n’est plus nécessaire à l’exploitation d’une entreprise ou d’un immeuble agricole est transféré au propriétaire d’une entreprise ou d’un immeuble agricole voisin pour être affecté à un usage conforme à l’affectation de la zone et que ce transfert permet d’éviter la construction d’un bâtiment qui devrait faire l’objet d’une autorisation en vertu de l’art. 16a de la loi fédérale du 22 juin 1979 sur l’aménagement du territoire ; f) un droit de superficie doit être constitué au bénéfice du fermier de l’entreprise agricole sur la partie à séparer ; g) la capacité financière de la famille paysanne est fortement compromise et qu’une menace d’exécution forcée peut être détournée par l’aliénation d’immeubles ou de parties d’immeubles ; h) une tâche publique ou d’intérêt public doit être accomplie; i) la séparation est effectuée afin de mettre en place un bâtiment d’exploitation servant à une entreprise collective ou une installation équivalente.![endif]&gt;![if&gt; L’art. 60 al. 2 LDFR mentionne que l’autorité permet en outre une exception à l’interdiction de partage matériel si les conditions suivantes sont remplies : a) le partage matériel sert principalement à améliorer les structures d’autres entreprises agricoles ; b) aucun parent titulaire d’un droit de préemption ou d’un droit à l’attribution n’entend reprendre l’entreprise agricole pour l’exploiter à titre personnel et aucune autre personne qui pourrait demander l’attribution dans le partage successoral (art. 11, al. 2) ne veut reprendre l’ensemble de l’entreprise pour l’affermer ; c) le conjoint qui a exploité l’entreprise avec le propriétaire approuve le partage matériel.</w:t>
      </w:r>
    </w:p>
    <w:p>
      <w:r>
        <w:rPr>
          <w:b/>
        </w:rPr>
        <w:t>E. 4.4</w:t>
      </w:r>
    </w:p>
    <w:p>
      <w:r>
        <w:t>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(Christoph BANDLI, in Christoph BANDLI et autres, op.cit., n. 1 ad. art. 60).![endif]&gt;![if&gt;</w:t>
      </w:r>
    </w:p>
    <w:p>
      <w:r>
        <w:rPr>
          <w:b/>
        </w:rPr>
        <w:t>E. 4.5</w:t>
      </w:r>
    </w:p>
    <w:p>
      <w:r>
        <w:t>Les exceptions à l'interdiction de partage matériel sont énumérées exhaustivement à l'art. 60 LDFR ; on ne saurait en créer d'autres après coup (ATF 121 III 75 consid. 3d et les références citées).![endif]&gt;![if&gt;</w:t>
      </w:r>
    </w:p>
    <w:p>
      <w:r>
        <w:rPr>
          <w:b/>
        </w:rPr>
        <w:t>E. 4.6</w:t>
      </w:r>
    </w:p>
    <w:p>
      <w:r>
        <w:t>En l’espèce, A______ a mentionné dans la requête déposée devant la CFA être propriétaire d’une entreprise agricole au sens de l’art. 7 LDFR et souhaiter vendre une parcelle de son exploitation, qualifiée d’appropriée à l’agriculture, à une personne consultante en environnement, qui n’avait pas l’intention de l’exploiter personnellement au sens de l’art. 9 LDFR.![endif]&gt;![if&gt; Or, l’art. 58 LDFR pose le principe de l’interdiction de la soustraction d’un immeuble à son entreprise agricole. Aucune exception de l’art. 59 LDFR n’est réalisée, ce que les recourants ne contestent pas. De même, aucun des cas d’« autorisations exceptionnelles » listés à l’art. 60 al. 1 LDFR n’est rempli. Les conditions nécessaires et cumulatives de l’hypothèse de l’al. 2 de l’art. 60 LDFR ne sont pas réalisées, ce que les recourants ne contestent pas. C’est en conséquence sans violer le droit que la CFA a refusé la vente aux recourants. Les recourants contestent le caractère exhaustif de la liste des exceptions de l’art. 60 al. 1 LDFR en se fondant sur le message du Conseil fédéral concernant la réforme politique agricole en 2002 (FF 1996 IV 63 ) et un ouvrage de doctrine (Das bäuerliche Bodenrecht, Kommentar zum Bundesgesetz über das bäuerliche Bodenrecht vom 4. Oktober 1991, 2 e éd. 2011, ad. Art. 60 N 1 et 2). Si certes il y est relevé que le numerus clausus d’exceptions de l’art. 60 al. 1 LDFR a été considéré en 2002 comme trop restreint, la modification votée est sans pertinence dans le présent dossier et le principe de l’exhaustivité du catalogue des exceptions n’a pas été modifié. Le grief sera rejeté. Il n’est dès lors pas nécessaire d’examiner les questions en lien avec l’exploitation à titre personnel par l’acquéreur (art. 63 LDFR) et l’exception prévue à l’art. 64 LDFR, la condition préalable de pouvoir partager l’exploitation agricole n’étant pas remplie. Le recours sera rejeté.</w:t>
      </w:r>
    </w:p>
    <w:p>
      <w:r>
        <w:rPr>
          <w:b/>
        </w:rPr>
        <w:t>E. 5</w:t>
      </w:r>
    </w:p>
    <w:p>
      <w:r>
        <w:t>Vu l’issue du litige, un émolument de CHF 500.- sera mis à la charge des recourants, pris solidairement (art. 87 al. 1 LPA) et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