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A/80/2024 vom 18. Juni 2024</w:t>
      </w:r>
    </w:p>
    <w:p>
      <w:r>
        <w:t>GE Cour de justice, 2024-06-18, FR</w:t>
      </w:r>
    </w:p>
    <w:p>
      <w:r>
        <w:rPr>
          <w:b/>
        </w:rPr>
        <w:t xml:space="preserve">Quelle: </w:t>
      </w:r>
      <w:r>
        <w:t>https://mcp.opencaselaw.ch/entscheid/ge_gerichte_A_80_2024</w:t>
      </w:r>
    </w:p>
    <w:p>
      <w:r>
        <w:t>FR: GE_GERICHTE A/80/2024 du 18 juin 2024</w:t>
      </w:r>
    </w:p>
    <w:p>
      <w:r>
        <w:t>IT: GE_GERICHTE A/80/2024 del 18 giugno 2024</w:t>
      </w:r>
    </w:p>
    <w:p>
      <w:pPr>
        <w:pStyle w:val="Heading2"/>
      </w:pPr>
      <w:r>
        <w:t>Erwägungen</w:t>
      </w:r>
    </w:p>
    <w:p>
      <w:r>
        <w:rPr>
          <w:b/>
        </w:rPr>
        <w:t>E. 2</w:t>
      </w:r>
    </w:p>
    <w:p>
      <w:r>
        <w:t>La recourante a conclu à l’audition de témoins.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w:t>
      </w:r>
    </w:p>
    <w:p>
      <w:r>
        <w:rPr>
          <w:b/>
        </w:rPr>
        <w:t>E. 2.2</w:t>
      </w:r>
    </w:p>
    <w:p>
      <w:r>
        <w:t>En l’espèce, la chambre de céans a entendu la concierge citée dans le recours et la voisine citée dans une écriture ultérieure. L’audition du policier ayant enregistré la plainte de la recourante pour vol de courrier le 12 juillet 2023 n’est pas nécessaire, dès lors que la recourante a admis avoir menti au sujet de la disparition du courrier du 30 mai 2023 et avoir en réalité bien reçu ce dernier.</w:t>
      </w:r>
    </w:p>
    <w:p>
      <w:r>
        <w:rPr>
          <w:b/>
        </w:rPr>
        <w:t>E. 3</w:t>
      </w:r>
    </w:p>
    <w:p>
      <w:r>
        <w:t>Dans sa réplique, la recourante conclut à titre préalable à la suspension de la procédure jusqu’à droit jugé sur des recours pendants devant le Tribunal fédéral.</w:t>
      </w:r>
    </w:p>
    <w:p>
      <w:r>
        <w:rPr>
          <w:b/>
        </w:rPr>
        <w:t>E. 3.1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Cst. d’attendre la décision d’une autre autorité, même si celle-ci est susceptible de fournir une solution au litige, si ledit litige peut être tranché sans délai sur la base d’autres motifs ( ATA/812/2021 du 10 août 2021 consid. 2a ; ATA/1493/2019 précité consid. 3b).</w:t>
      </w:r>
    </w:p>
    <w:p>
      <w:r>
        <w:rPr>
          <w:b/>
        </w:rPr>
        <w:t>E. 3.2</w:t>
      </w:r>
    </w:p>
    <w:p>
      <w:r>
        <w:t>En l’espèce, la recourante se borne à mentionner le fait que l’intimé a indiqué en audience que des recours étaient pendants devant le Tribunal fédéral. Elle n’explique pas en quoi le sort de ces recours serait déterminant pour la solution du présent litige. Il sera vu plus loin que le seul grief de la recourante, selon lequel elle n’aurait pas reçu les courriers des 5 janvier et 30 mai 2023, doit être écarté. La procédure est ainsi en état d’être jugée et il ne sera pas donné suite à la demande de suspension.</w:t>
      </w:r>
    </w:p>
    <w:p>
      <w:r>
        <w:rPr>
          <w:b/>
        </w:rPr>
        <w:t>E. 4</w:t>
      </w:r>
    </w:p>
    <w:p>
      <w:r>
        <w:t>La recourante se plaint d’une violation de son droit d’être entendue. Le PCTN aurait pris sa décision sans lui donner l’occasion de s’exprimer.</w:t>
      </w:r>
    </w:p>
    <w:p>
      <w:r>
        <w:rPr>
          <w:b/>
        </w:rPr>
        <w:t>E. 4.1</w:t>
      </w:r>
    </w:p>
    <w:p>
      <w:r>
        <w:t>Le droit d'être entendu, garanti à l'art. 29 al. 2 Cst., comprend notamment le droit pour l'intéressé de s'exprimer sur les éléments pertinents avant qu'une décision soit prise touchant sa situation juridique (ATF 145 I 73 consid. 7.2.2.1 et les arrêts cités ; 135 I 279 consid. 2.3). La procédure administrative genevoise exige donc de l'autorité qu'elle entende les parties avant de prendre une décision (art. 41 LPA).</w:t>
      </w:r>
    </w:p>
    <w:p>
      <w:r>
        <w:rPr>
          <w:b/>
        </w:rPr>
        <w:t>E. 4.2</w:t>
      </w:r>
    </w:p>
    <w:p>
      <w:r>
        <w:t>En l’espèce, la recourante a complété et signé le 2 mai 2023 une requête en délivrance/renouvellement d’une AUADP, accompagnée des pièces nécessaires. Elle a ainsi eu l’occasion de s’exprimer. Elle s’est ensuite adressée par écrit au PCTN les 7 et 12 juillet 2023, après être passée au guichet, pour exposer que les courriers des 5 janvier et 30 mai 2023 ne lui étaient jamais parvenus car ils lui avaient été volés. Elle a ainsi pu s’exprimer de manière circonstanciée avant que la décision querellée ne soit prise. Le grief sera écarté.</w:t>
      </w:r>
    </w:p>
    <w:p>
      <w:r>
        <w:rPr>
          <w:b/>
        </w:rPr>
        <w:t>E. 5</w:t>
      </w:r>
    </w:p>
    <w:p>
      <w:r>
        <w:t>Le recours a pour objet le refus du PCTN d’entrer en matière sur la requête de renouvellement de l’AUADP.</w:t>
      </w:r>
    </w:p>
    <w:p>
      <w:r>
        <w:rPr>
          <w:b/>
        </w:rPr>
        <w:t>E. 5.1</w:t>
      </w:r>
    </w:p>
    <w:p>
      <w:r>
        <w:t>Telle qu'elle est garantie par l'art. 27 al. 1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(Giorgio MALINVERNI/Michel HOTTELIER/Maya HERTIG RANDALL/ Alexandre FLÜCKGER, Droit constitutionnel suisse, vol. II, 4 e éd., 2021, n. 1031).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w:t>
      </w:r>
    </w:p>
    <w:p>
      <w:r>
        <w:rPr>
          <w:b/>
        </w:rPr>
        <w:t>E. 5.2</w:t>
      </w:r>
    </w:p>
    <w:p>
      <w:r>
        <w:t>L’art. 13 de la loi sur les taxis et les voitures de transport avec chauffeur du 13 octobre 2016 (LTVTC - H 1 31) règle les modalités de l’AUADP. Les AUADP sont limitées en nombre et en durée, en vue d’assurer un bon fonctionnement des services de taxis, par une utilisation optimale du domaine public, et en vue de garantir la sécurité publique (al. 1). L’al. 2 prévoit qu’elles sont attribuées moyennant le respect des conditions de délivrance, selon des critères objectifs et non discriminatoires, l’al. 3 qu’elles sont strictement personnelles et intransmissibles et l’al. 4 que le Conseil d’État en fixe le nombre maximal en fonction des besoins évalués périodiquement, détermine les modalités d’attribution et définit la notion d’usage effectif. L’AUADP est délivrée sur requête pour six ans à une personne physique ou morale aux conditions énumérées sous let. a à c (art. 13 al. 5 LTVTC). Selon l’art. 13 al. 7 LTVTC, l’AUADP est renouvelée lorsque la requête en renouvellement est déposée trois mois avant l’échéance de l’autorisation (let. a) et que les conditions de l’al. 5 sont toujours réalisées (let. b). L’art. 21 du règlement d'exécution de la loi sur les taxis et les voitures de transport avec chauffeur du 21 juin 2017 (RTVTC - H 1 31 01) prévoit que le PCTN informe les titulaires six mois avant l'échéance de l’AUADP de la nécessité de déposer une requête en renouvellement (al. 1). La requête peut être formée au plus tôt quatre mois avant sa date d'échéance, mais doit être formée au plus tard trois mois avant sa date d'échéance (al. 2). Le PCTN n'entre pas en matière sur les requêtes en renouvellement déposées en dehors du délai (al. 3). La requête en renouvellement doit être déposée au moyen de la formule officielle correspondante, dûment complétée et accompagnée des documents mentionnés dans ladite formule (al. 4). L'art. 5 est applicable pour le surplus (al. 5). Selon l’art. 5 RTVTC, les requêtes en autorisation doivent être déposées auprès du PCTN au moyen de la formule officielle correspondante, dûment complétée par la requérante ou le requérant, et accompagnée de toutes les pièces mentionnées dans ladite formule (al. 1). La requête ne réalisant pas les conditions de l'al. 1 est retournée à la requérante ou au requérant, sans fixation d’un délai pour la compléter (al. 2). Les requêtes en autorisation valablement déposées sont traitées dans un délai de 2 mois (al. 5).</w:t>
      </w:r>
    </w:p>
    <w:p>
      <w:r>
        <w:rPr>
          <w:b/>
        </w:rPr>
        <w:t>E. 5.3</w:t>
      </w:r>
    </w:p>
    <w:p>
      <w:r>
        <w:t>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 ACST/26/2022 du 22 décembre 2022 ; ACST/27/2022 du 22 décembre 2022).</w:t>
      </w:r>
    </w:p>
    <w:p>
      <w:r>
        <w:rPr>
          <w:b/>
        </w:rPr>
        <w:t>E. 5.4</w:t>
      </w:r>
    </w:p>
    <w:p>
      <w:r>
        <w:t>Un délai fixé par la loi ne peut être prolongé. Les cas de force majeure sont réservés (art. 16 al. 1 LPA). L’art. 16 al. 1 LPA s’applique aux délais prévus par l’art. 13 al. 7 LTVTC et 21 al. 2 RTVTC ( ATA/1110/2023 du 10 octobre 2023 consid. 4.5).</w:t>
      </w:r>
    </w:p>
    <w:p>
      <w:r>
        <w:rPr>
          <w:b/>
        </w:rPr>
        <w:t>E. 5.5</w:t>
      </w:r>
    </w:p>
    <w:p>
      <w:r>
        <w:t>Le fardeau de la preuve de la notification d’un acte et de sa date incombe en principe à l’autorité qui entend en tirer une conséquence juridique (ATF 129 I 8 consid. 2.2 ; arrêt du Tribunal fédéral 1C_634/2015 du 26 avril 2016 consid. 2.1).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 ; ATA/852/2022 du 23 août 2022 consid. 2c). La prestation « A+ » offre la possibilité de suivre le processus d’expédition du dépôt jusqu’à la distribution. Elle comporte également l’éventuelle réexpédition à une nouvelle adresse, ainsi que le retour des envois non distribuables. Lors de l’expédition par « Courrier A+ », l’expéditeur obtient des informations de dépôt, de tri et de distribution par voie électronique via le service en ligne « Suivi des envois ». Les envois « Courrier A + » sont directement distribués dans la boîte aux lettres ou dans la case postale du destinataire. En cas d’absence, le destinataire ne reçoit pas d’invitation à retirer un envoi dans sa boîte aux lettres (ATF 142 III 599 consid. 2.1). 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 ATA/725/2018 du 10 juillet 2018 consid. 2c confirmé par l'arrêt du Tribunal fédéral 2C_799/2018 du 21 septembre 2018).</w:t>
      </w:r>
    </w:p>
    <w:p>
      <w:r>
        <w:rPr>
          <w:b/>
        </w:rPr>
        <w:t>E. 5.6</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w:t>
      </w:r>
    </w:p>
    <w:p>
      <w:r>
        <w:rPr>
          <w:b/>
        </w:rPr>
        <w:t>E. 5.7</w:t>
      </w:r>
    </w:p>
    <w:p>
      <w:r>
        <w:t>Le strict respect des délais légaux se justifie pour des raisons d'égalité de traitement et n'est pas constitutif de formalisme excessif (ATF 142 V 152 consid. 4.2 in fine ).</w:t>
      </w:r>
    </w:p>
    <w:p>
      <w:r>
        <w:rPr>
          <w:b/>
        </w:rPr>
        <w:t>E. 5.8</w:t>
      </w:r>
    </w:p>
    <w:p>
      <w:r>
        <w:t>L’art. 5 al. 3 Cst. oblige les organes de l’État et les particuliers à agir de manière conforme aux règles de la bonne foi. L’art. 9 Cst. confère à toute personne le droit d’être traitée par les organes de l’État sans arbitraire et conformément aux règles de la bonne foi. Le principe de la bonne foi exige que l’administration et les administrés se comportent réciproquement de manière loyale. L’administration doit s’abstenir de tout comportement propre à tromper l’administré et ne saurait tirer aucun avantage des conséquences d’une incorrection ou insuffisance de sa part (ATF 143 V 95 consid. 3.6.2 ; 137 II 182 consid. 3.6.2). Le principe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(ATF 146 I 105 consid. 5.1.1 ; 143 V 341 consid. 5.2.1).</w:t>
      </w:r>
    </w:p>
    <w:p>
      <w:r>
        <w:rPr>
          <w:b/>
        </w:rPr>
        <w:t>E. 6</w:t>
      </w:r>
    </w:p>
    <w:p>
      <w:r>
        <w:t>En l’espèce, s’agissant de la question de savoir si les courriers des 5 janvier et 30 mai 2023 sont parvenus à la recourante, l’intimé a documenté le dépôt dans la boîte aux lettres de la recourante des courriers « A+ ». La recourante a toutefois soutenu que les courriers du PCTN des 5 janvier et 30 mai 2023 lui avaient été volés dans sa boîte aux lettres, de sorte qu’elle n’en avait jamais eu connaissance. Or, elle a échoué à rendre ne serait-ce que vraisemblable que des lettres étaient volées dans les boîtes aux lettres de son immeuble. Sa concierge et sa voisine, entendues en qualité de témoins, ont en effet exposé n’avoir jamais entendu parler de vols de lettres. La recourante n’a par ailleurs produit aucune preuve des autres vols dont elle dit avoir été victime. À cela s’ajoute que la recourante a admis durant son audition avoir menti au sujet du courrier du 30 mai 2023 en affirmant qu’il avait été volé dans sa boîte aux lettres et retrouvé bien plus tard par sa concierge à la cave. Ce mensonge a été proféré une première fois dans le courrier qu’elle a adressé au PCTN le 7 juillet 2023, et qu’elle a présenté comme une opposition – à la tardiveté excusable – au courrier de la PCTN du 30 mai 2023. Il a été réitéré à l’agent de police auprès duquel la recourante a indiqué dans son recours avoir déposé plainte notamment pour ce prétendu vol, agent dont elle a demandé l’audition. Il a été réitéré à nouveau dans son recours du 8 janvier 2024 à la chambre de céans (§ 10 p. 5). Enfin, il ressort de l’audition de la concierge, dont la recourante avait demandé l’audition en qualité de témoin dans son recours, avant d’y renoncer, qu’elle lui aurait demandé en vain de soutenir son allégation mensongère au sujet du vol du courrier du 30 mai 2023. Les agissements de la recourante visant à induire en erreur successivement le PCTN, la police municipale puis la chambre de céans en vue d’obtenir une décision favorable revêtent une certaine sophistication puisqu’ils comprennent une plainte pénale mensongère, la tentative de suborner un témoin expressément cité, et que le recours décrit de manière détaillée, en sept paragraphes (§§ 7 à 14), un phénomène de vols systématiques de courrier que les enquêtes ont démenti. Indépendamment de leur éventuelle qualification pénale, ces agissements témoignent dans la présente procédure d’une mauvaise foi et d’une déloyauté caractérisées conduisant à examiner avec la plus grande circonspection toutes les allégations de la recourante. Enfin, la recourante a reçu le courrier du PCTN du 28 février 2023 lui adressant la facture d’émolument pour l’année 2023 ainsi que la décision querellée du 23 novembre 2023 constatant la caducité de son AUADP, tous deux également expédiés en « A+ ». La chambre de céans retiendra ainsi qu’il est établi que la recourante a reçu le courrier du 5 janvier 2023. Il s’ensuit que le PCTN l’a informée six mois avant l'échéance de l’AUADP de la nécessité de déposer une requête en renouvellement, conformément à l’art. 21 RTVTC, et qu’elle ne peut prétendre avoir été dans l’ignorance des conditions posées au renouvellement de son AUADP. Le grief de violation de l’art. 21 RTVTC tombe ainsi à faux. La recourante ne soutient par ailleurs pas, à bon droit, que le délai imparti par le PCTN dans son courrier du 5 janvier 2023 serait contraire à l’art 13 al. 7 LTVTC, selon lequel la requête en renouvellement doit être formée trois mois avant l’échéance de l’autorisation, étant rappelé que l’AUADP de la recourante arrivait à échéance le 3 juin 2023. La recourante a déposé sa requête en renouvellement de son AUADP le 2 mai 2023. Elle admet que celle-ci était tardive. C’est ainsi conformément à la loi que le PCTN a constaté que la demande de renouvellement était tardive et que l’AUADP avait expiré. Le constat de la caducité de l'AUADP de la recourante constitue indubitablement une atteinte à sa liberté économique. Celle-ci repose toutefois sur une base légale, l’art. 13 al. 5 et al. 7 LTVTC. Cette disposition limite le nombre des AUADP en vue d'assurer un bon fonctionnement des services de taxis, par une utilisation optimale du domaine public, et en vue de garantir la sécurité publique. Cet objectif relève d'un intérêt public évident justifiant une restriction de la liberté économique. Quant à la proportionnalité de la mesure attaquée, la caducité de l'AUADP apparaît apte à atteindre le but recherché, dans la mesure où il s'agit de garantir un service de taxis efficace et adapté, mais également d’assurer une égalité de traitement vu le numerus clausus . La recourante, qui n’a pas déposé sa demande de renouvellement dans le délai, dispose de la possibilité de former une nouvelle requête sous réserve d'en remplir les conditions, et il lui est par ailleurs loisible de travailler comme chauffeuse à d’autres conditions ou pour des employeurs. Dans un cas similaire, la chambre de céans a déjà jugé que la restriction à la liberté économique était admissible ( ATA/1110/2023 précité consid. 6.3). Mal fondé, le recours sera rejeté. Vu l’issue du litige, les conclusions en mesures provisoires ont perdu leur objet.</w:t>
      </w:r>
    </w:p>
    <w:p>
      <w:r>
        <w:rPr>
          <w:b/>
        </w:rPr>
        <w:t>E. 7</w:t>
      </w:r>
    </w:p>
    <w:p>
      <w:r>
        <w:t>Vu l’issue du litige, un émolument de CHF 1’000.-, tenant compte des actes d’instruction, sera mis à la charge de la recourante (art. 87 al. 1 LPA) et aucune indemnité de procédure ne lui sera allouée (art. 87 al. 2 LPA). Compte tenu de ses allégations mensongères et de ses manœuvres pour les rendre crédibles, constitutives de témérité, la recourante se verra en outre infliger une amende de CHF 500.- en application de l’art. 88 LPA, sanctionnant l’emploi abusif des procédures et selon lequel la juridiction administrative peut prononcer une amende n’excédant pas CHF 5'000.- à l’égard de celui dont le recours, l’action, la demande en interprétation ou en révision est jugée téméraire ou constitutive d’un emploi abusif des procédures prévues par la loi.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