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A/805/2023 vom 6. Februar 2024</w:t>
      </w:r>
    </w:p>
    <w:p>
      <w:r>
        <w:t>GE Cour de justice, 2024-02-06, FR</w:t>
      </w:r>
    </w:p>
    <w:p>
      <w:r>
        <w:rPr>
          <w:b/>
        </w:rPr>
        <w:t xml:space="preserve">Quelle: </w:t>
      </w:r>
      <w:r>
        <w:t>https://mcp.opencaselaw.ch/entscheid/ge_gerichte_A_805_2023</w:t>
      </w:r>
    </w:p>
    <w:p>
      <w:r>
        <w:t>FR: GE_GERICHTE A/805/2023 du 6 février 2024</w:t>
      </w:r>
    </w:p>
    <w:p>
      <w:r>
        <w:t>IT: GE_GERICHTE A/805/2023 del 6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Le recours ayant été interjeté postérieurement au 1 er janvier 2021, il est soumis au nouveau droit (cf. art. 82 a LPGA a contrario ).</w:t>
      </w:r>
    </w:p>
    <w:p>
      <w:r>
        <w:rPr>
          <w:b/>
        </w:rPr>
        <w:t>E. 3</w:t>
      </w:r>
    </w:p>
    <w:p>
      <w:r>
        <w:t>Le délai de recours est de trente jours (art. 56 LPGA ; art. 62 al. 1 de la loi sur la procédure administrative du 12 septembre 1985 [LPA - E 5 10]). ![endif]&gt;![if&gt; Interjeté dans la forme et le délai prévus par la loi, le recours est recevable.</w:t>
      </w:r>
    </w:p>
    <w:p>
      <w:r>
        <w:rPr>
          <w:b/>
        </w:rPr>
        <w:t>E. 4</w:t>
      </w:r>
    </w:p>
    <w:p>
      <w:r>
        <w:t>Le litige porte sur le droit à une rente ou à une mesure de l’OAI, plus particulièrement sur le bien-fondé du volet psychiatrique de l’expertise.![endif]&gt;![if&gt;</w:t>
      </w:r>
    </w:p>
    <w:p>
      <w:r>
        <w:rPr>
          <w:b/>
        </w:rPr>
        <w:t>E. 5</w:t>
      </w:r>
    </w:p>
    <w:p>
      <w:r>
        <w:t>![endif]&gt;![if&gt;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 VSI 2001 p. 223 consid. 2b ; arrêt du Tribunal fédéral des assurances I 786/04 du 19 janvier 2006 consid. 3.1).![endif]&gt;![if&gt;</w:t>
      </w:r>
    </w:p>
    <w:p>
      <w:r>
        <w:rPr>
          <w:b/>
        </w:rPr>
        <w:t>E. 5.3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Ces principes sont toujours valables dans le cadre de la jurisprudence soumettant l’évaluation des troubles psychiques à une procédure probatoire structurées selon l’ATF 141 V 281 (cf. ATF 143 V 418 consid. 6 et 7), le droit de l’assurance-invalidité continuant à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aggravent l’ampleur de ses conséquences – qui existent indépendamment des éléments étrangers à l'invalidité (arrêt du Tribunal fédéral 8C_559/2019 du 20 janvier 2020 consid. 3.2 et l’arrêt cité). Ainsi, les troubles psychiques dus principalement à des circonstances extérieures, telles que le surmenage causé par l’exercice de plusieurs professions (par ex. l’accomplissement des tâches ménagères parallèlement à l’activité lucrative) ou un milieu défavorable n’ont pas valeur d’invalidité (RSAS 2006, p. 517, 521). De même, une aggravation de l'état de santé qui trouve son explication dans des recherches d’emploi infructueuses n'est pas pertinente en droit de l'assurance-invalidité (cf. arrêt du Tribunal fédéral 9C_330/2021 du 6 septembre 2021 consid. 4.4.2 et l’arrêt cité).![endif]&gt;![if&gt; Le principe inquisitoire, selon lequel les faits pertinents de la cause doivent être constatés d'office par l'autorité (cf. art. 43 al. 1 LPGA), ne s'applique pas à la procédure de l'art. 87 al. 3 RAI (ATF 130 V 64 consid. 5.2.5).</w:t>
      </w:r>
    </w:p>
    <w:p>
      <w:r>
        <w:rPr>
          <w:b/>
        </w:rPr>
        <w:t>E. 5.4</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c).![endif]&gt;![if&gt;</w:t>
      </w:r>
    </w:p>
    <w:p>
      <w:r>
        <w:rPr>
          <w:b/>
        </w:rPr>
        <w:t>E. 5.5</w:t>
      </w:r>
    </w:p>
    <w:p>
      <w:r>
        <w:t>Selon l'art. 28a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tableau.![endif]&gt;![if&gt;</w:t>
      </w:r>
    </w:p>
    <w:p>
      <w:r>
        <w:rPr>
          <w:b/>
        </w:rPr>
        <w:t>E. 5.6</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référence).![endif]&gt;![if&gt;</w:t>
      </w:r>
    </w:p>
    <w:p>
      <w:r>
        <w:rPr>
          <w:b/>
        </w:rPr>
        <w:t>E. 5.7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5.9</w:t>
      </w:r>
    </w:p>
    <w:p>
      <w:r>
        <w:t>En l’espèce, la recourante conteste le volet psychiatrique de l’expertise.![endif]&gt;![if&gt; S’agissant de la valeur probante du rapport d'expertise, l’on doit relever qu’il répond, sur le plan formel, aux exigences posées par la jurisprudence pour qu'on puisse lui accorder une pleine valeur probante. L’expertise bidisciplinaire a été conduite par des médecins spécialisés dans chaque domaine concerné, en vue d'établir une synthèse des différentes pathologies de l'expertisée, sur la base d'observations approfondies et d'investigations complètes, ainsi qu'en pleine connaissance du dossier. Les experts ont personnellement examiné la recourante préalablement à l'établissement de leur rapport d'expertise, et ils ont consigné les renseignements anamnestiques pertinents, recueilli les plaintes de l'assurée et résumé leurs propres constatations. Ils ont en outre énoncé les diagnostics retenus et répondu aux questions posées. Leurs conclusions sont claires et motivées. S’agissant en particulier de l’expertise psychiatrique, l’experte a pris en compte les avis médicaux des médecins de la recourante et a constaté que le seul médecin ayant évoqué un diagnostic de syndrome anxio-dépressif sévère en sus d’un choc post-traumatique et de la fibromyalgie était le généraliste C______, lequel s’était fondé sur l’évocation du rhumatologue D______ de ces possibles atteintes à la santé et non sur l’avis d’un psychiatre. L’évocation d’un choc traumatique et d’une dépression par le rhumatologue ne visait pas à établir des diagnostics d’ordre psychiatrique, mais justifiait que le Dr D______ adresse sa patiente à une consœur psychiatre pour l’évaluation et le suivi psychiatrique. S’agissant en outre de la fibromyalgie, le Dr D______ s’est rallié in fine à l’avis de l’expert rhumatologue lequel a retenu en lieu et place un syndrome douloureux myofacial. L’on relèvera en outre, s’agissant de l’avis du généraliste de la recourante, le Dr C______, que ce dernier avait initialement mis l’incapacité de travail de sa patiente en lien avec les seules atteintes physiques et non pas avec une atteinte psychique, celle-ci étant mise en avant sur la seule base de l’évocation faite par le Dr D______. L’avis du généraliste de la recourante ne suffit à retenir un diagnostic d’atteinte psychiatrique invalidante et à contester le bien-fondé de l’expertise psychiatrique au dossier. L’on relève ensuite que l’expert psychiatre n’a pas nié le traumatisme que la recourante a vécu au décès de son défunt époux en 1997, mais a exclu que l’atteinte en ayant résulté à l’époque soit aujourd’hui encore invalidante. L’expert a également constaté que la recourante ne se plaignait pas de troubles psychiatriques, mais de douleurs. Son état dépressif était causé par son incapacité de travailler et les douleurs ressenties et non par l’ancien traumatisme. Quant à la prise en charge de ce traumatisme, l’expert a pu déterminer que la recourante avait entrepris un suivi psychologique de 1998 à 2005, en Suisse. Ce suivi avait porté ses fruits. La recourante n’avait plus eu de suivi psychiatrique depuis lors et ne relevait pas d’éléments propres à considérer que son état psychique était invalidant. Elle avait été en mesure de travailler pour le même employeur à plein temps durant 16 ans. Elle s’était beaucoup investie et était le pilier de l’hôtel pour lequel elle travaillait. Elle avait été rapidement désignée formatrice. La recourante se sentait désormais fatiguée et déprimée en raison des douleurs qu’elle ressentait dans tout le corps qui l’empêchaient de reprendre son travail. La recourante mettait son état dépressif et ses crises d’angoisse sur le compte de ses douleurs et de sa situation actuelle. Elle n’évoquait pas de réminiscence ou de cauchemars en lien avec l’ancien traumatisme. C’est ainsi de façon convaincante et motivée que l’expert a nié que le choc post-traumatique soit actuellement invalidant et qu’il a retenu les diagnostics de trouble somatoforme et de réaction mixte anxieuse et dépressive, CIM-10, F43.22, sans que ces diagnostics puissent être considérés comme invalidants. Les atteintes physiques l’empêchaient de reprendre son activité habituelle et seule une activité légère pouvait être accomplie à raison de 8 heures par jour, comme l’avait également retenu l’expert rhumatologue. L’experte psychiatre a constaté par voie de conséquence de la cohérence chez la recourante dans le recours aux soins sur le plan somatique, respectivement l'absence de recours à un suivi psychiatrique, puisqu’elle ne se plaignait pas d’atteinte psychique, mais physique. Tant le volet psychiatrique que le volet rhumatologique qui n’est à juste titre pas remis en cause convainquent. L’évaluation consensuelle des experts est conforme aux résultats auxquels chaque expert est parvenu dans son champ de spécialité. Leur avis commun est clairement motivé et apparait probant aux yeux de la chambre de céans. Il n’y a dès lors pas lieu de s’écarter des conclusions du rapport d’expertise, à savoir que la recourante est capable de travailler dans une activité légère adaptée, respectant les limitations fonctionnelles évoquées dans l’expertise, volet rhumatologique, à raison de maximum 8 heures par jour. L’on précisera à ce stade que même en tenant compte d’un horaire hebdomadaire de 40h au lieu de 41.7 h retenu dans le calcul fait par l’intimé, le taux d’invalidité serait de 2.95, arrondi à 3%, soit largement inférieur au taux de 40% ouvrant le droit à une rente (art. 28 LAI) et à celui de 20% pour des mesures de reclassement (ATF 139 V 399 consid. 5.3 ; arrêt du Tribunal fédéral 9C_500/2020 du 1 er mars 2021 consid. 2 et les références). En effet, le calcul se présenterait comme suit : Selon ESS 2020, tableau TA1-tirage-skill_level, femme, niveau de compétence 1 pour 40h de travail : CHF 4'276.-, soit CHF 51'312.- (et non pas CHF 4'458.-, respectivement CHF 53'493.-, selon le calcul de l’OAI), actualisé à l’indexation selon ISS 2022 (ESS de réf. 107.9, indice de l’année prise en compte 108.6) : soit CHF 51'644.- (au lieu de CHF 53'840.-). Le revenu avant l’atteinte à la santé, année 2022, étant de CHF 53'226.-, la perte de salaire s’élèverait à CHF 1'582.- (CHF 53'226.- - CHF 51'644.-), soit un taux d’invalidité de 2.9% au lieu du taux de 0% retenu dans le calcul attaqué. Ce taux n’ouvre pas de droit à des prestations d’invalidité.</w:t>
      </w:r>
    </w:p>
    <w:p>
      <w:r>
        <w:rPr>
          <w:b/>
        </w:rPr>
        <w:t>E. 5.10</w:t>
      </w:r>
    </w:p>
    <w:p>
      <w:r>
        <w:t>Quant à l’abattement de 25% requis par la recourante, il est rappelé que lors du prononcé de la décision contestée le 1 er février 2023, le règlement en vigueur (art. 26bis RAI, état au 1 er février 2023) ne prévoyait d’abattement de 10% sur la valeur statistique que dans les cas où les capacités fonctionnelles de l’assuré ne lui permettaient de travailler qu’à un taux d’occupation de 50% ou moins. Dès le 1 er janvier 2024, le règlement a été modifié en ce sens qu’un abattement automatique de 10% est fait sur la valeur statistique (art. 26bis al. 3 RAI état au 1 er janvier 2024). Cette disposition, si elle était appliquée au cas d’espèce (cf. Dispositions transitoires relatives à la modification du 18 octobre 2023, RO 2023 635) ne permettrait pas davantage de tenir compte d’un taux d’invalidité ouvrant le droit à une mesure de reclassement. ![endif]&gt;![if&gt;</w:t>
      </w:r>
    </w:p>
    <w:p>
      <w:r>
        <w:rPr>
          <w:b/>
        </w:rPr>
        <w:t>E. 6</w:t>
      </w:r>
    </w:p>
    <w:p>
      <w:r>
        <w:t>Au vu de ce qui précède, le recours sera rejeté et la recourante sera condamnée au paiement d'un émolument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