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A/804/2022 vom 22. Dezember 2022</w:t>
      </w:r>
    </w:p>
    <w:p>
      <w:r>
        <w:t>GE Cour de justice, 2022-12-22, FR</w:t>
      </w:r>
    </w:p>
    <w:p>
      <w:r>
        <w:rPr>
          <w:b/>
        </w:rPr>
        <w:t xml:space="preserve">Quelle: </w:t>
      </w:r>
      <w:r>
        <w:t>https://mcp.opencaselaw.ch/entscheid/ge_gerichte_A_804_2022</w:t>
      </w:r>
    </w:p>
    <w:p>
      <w:r>
        <w:t>FR: GE_GERICHTE A/804/2022 du 22 décembre 2022</w:t>
      </w:r>
    </w:p>
    <w:p>
      <w:r>
        <w:t>IT: GE_GERICHTE A/804/2022 del 22 dicembre 2022</w:t>
      </w:r>
    </w:p>
    <w:p>
      <w:pPr>
        <w:pStyle w:val="Heading2"/>
      </w:pPr>
      <w:r>
        <w:t>Erwägungen</w:t>
      </w:r>
    </w:p>
    <w:p>
      <w:r>
        <w:rPr>
          <w:b/>
        </w:rPr>
        <w:t>E. 6</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énumérées à l'art. 10 LPC qui excède les revenus déterminants, lesquels comprennent notamment les ressources et parts de fortune dont un ayant droit s’est dessaisi (art. 11 al. 1 let. g LPC).</w:t>
      </w:r>
    </w:p>
    <w:p>
      <w:r>
        <w:rPr>
          <w:b/>
        </w:rPr>
        <w:t>E. 7</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ATF 134 I 65 consid. 3.2 et les références; ATF 131 V 329 consid. 4.2 et les références).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5.1).![endif]&gt;![if&gt;</w:t>
      </w:r>
    </w:p>
    <w:p>
      <w:r>
        <w:rPr>
          <w:b/>
        </w:rPr>
        <w:t>E. 7.1</w:t>
      </w:r>
    </w:p>
    <w:p>
      <w:r>
        <w:t>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![endif]&gt;![if&gt;</w:t>
      </w:r>
    </w:p>
    <w:p>
      <w:r>
        <w:rPr>
          <w:b/>
        </w:rPr>
        <w:t>E. 7.2</w:t>
      </w:r>
    </w:p>
    <w:p>
      <w:r>
        <w:t>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du Tribunal fédéral des assurances P.52/02 du 12 juin 2003).![endif]&gt;![if&gt; Il a également jugé le cas d'un assuré dont le solde du capital de prévoyance de CHF 129'493.40 était de CHF 69'370.20 au 31 décembre de l'année du versement. La diminution de fortune de CHF 60'123.20 en moins de trois mois n'était expliquée que partiellement notamment par le remboursement d'un emprunt pour un montant de CHF 21'073.80, et par le paiement d'un montant de l'ordre de CHF 3'500.- à l'administration fiscale pendant la période prise en considération. Une diminution de fortune de l'ordre de CHF 33'000.-, au moins, demeurait inexpliquée jusqu'à la fin de l'année 1996 et était considérée comme un dessaisissement (arrêt du Tribunal fédéral des assurances P.59/02 du 28 août 2003).</w:t>
      </w:r>
    </w:p>
    <w:p>
      <w:r>
        <w:rPr>
          <w:b/>
        </w:rPr>
        <w:t>E. 8</w:t>
      </w:r>
    </w:p>
    <w:p>
      <w:r>
        <w:t>Selon l'art. 17 a de l'ordonnance sur les prestations complémentaires à l’assurance-vieillesse, survivants et invalidité du 15 janvier 1971 (OPC-AVS/AI - RS 831.301), dans sa teneur en vigueur jusqu’au 31 décembre 2020,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w:t>
      </w:r>
    </w:p>
    <w:p>
      <w:r>
        <w:rPr>
          <w:b/>
        </w:rPr>
        <w:t>E. 8.1</w:t>
      </w:r>
    </w:p>
    <w:p>
      <w:r>
        <w:t>Le Tribunal fédéral a admis la conformité de cette disposition à la loi et à la constitution (ATF 118 V 150 consid. 3c/cc). ![endif]&gt;![if&gt;</w:t>
      </w:r>
    </w:p>
    <w:p>
      <w:r>
        <w:rPr>
          <w:b/>
        </w:rPr>
        <w:t>E. 8.2</w:t>
      </w:r>
    </w:p>
    <w:p>
      <w:r>
        <w:t>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247).![endif]&gt;![if&gt;</w:t>
      </w:r>
    </w:p>
    <w:p>
      <w:r>
        <w:rPr>
          <w:b/>
        </w:rPr>
        <w:t>E. 9</w:t>
      </w:r>
    </w:p>
    <w:p>
      <w:r>
        <w:t>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En outre, la fortune est également définie par la loi fédérale et ses dispositions d’exécution (art. 7 LPCC).![endif]&gt;![if&gt;</w:t>
      </w:r>
    </w:p>
    <w:p>
      <w:r>
        <w:rPr>
          <w:b/>
        </w:rPr>
        <w:t>E. 9.1</w:t>
      </w:r>
    </w:p>
    <w:p>
      <w:r>
        <w:t>Ainsi, tout comme en droit fédéral, le revenu déterminant comprend les parts de fortune dont un ayant droit s'est dessaisi. On relèvera par ailleurs que la jurisprudence en matière de biens dessaisis rappelée supra s’applique mutatis mutandis en matière de prestations complémentaires cantonales ( ATAS/915/2014 consid. 8a).![endif]&gt;![if&gt;</w:t>
      </w:r>
    </w:p>
    <w:p>
      <w:r>
        <w:rPr>
          <w:b/>
        </w:rPr>
        <w:t>E. 9.2</w:t>
      </w:r>
    </w:p>
    <w:p>
      <w:r>
        <w:t>Le droit cantonal exclut du droit aux prestations cantonales les personnes qui ont choisi au moment de la retraite un capital de prévoyance professionnelle en lieu et place d’une rente et qui l’ont consacré à un autre but que celui de la prévoyance (art. 2 al. 4 LPCC).![endif]&gt;![if&gt;</w:t>
      </w:r>
    </w:p>
    <w:p>
      <w:r>
        <w:rPr>
          <w:b/>
        </w:rPr>
        <w:t>E. 9.3</w:t>
      </w:r>
    </w:p>
    <w:p>
      <w:r>
        <w:t>La chambre de céans a jugé que l'on pouvait résumer ainsi les principes régissant l'octroi de prestations complémentaires cantonales en cas de retrait du 2 ème pilier en capital : si le capital de prévoyance n'est pas épuisé selon le calcul de la couverture des besoins, il convient de calculer les revenus déterminants en y intégrant la rente du 2 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dans tous les cas, droit à des prestations complémentaires cantonales. Dans cette dernière hypothèse, leur calcul s'opère sans tenir compte d'une rente hypothétique de la prévoyance professionnelle à titre de revenu ( ATAS/808/2021 du 16 août 2021 consid. 12 et les références).![endif]&gt;![if&gt;</w:t>
      </w:r>
    </w:p>
    <w:p>
      <w:r>
        <w:rPr>
          <w:b/>
        </w:rPr>
        <w:t>E. 9.4</w:t>
      </w:r>
    </w:p>
    <w:p>
      <w:r>
        <w:t>En définitive, le capital LPP dépensé, en tout ou partie, au jour du calcul des prestations complémentaires, sera pris en considération selon les règles du dessaisissement en matière de prestations complémentaires fédérales, alors qu'en matière de prestations complémentaires cantonales, il sera fait application de l'art. 2 al. 4 LPCC et de la jurisprudence y relative ( ATAS/703/2022 du 11 août 2022 consid. 13.2). ![endif]&gt;![if&gt;</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référence).![endif]&gt;![if&gt;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VSI 1994 p. 227 consid. 4b).</w:t>
      </w:r>
    </w:p>
    <w:p>
      <w:r>
        <w:rPr>
          <w:b/>
        </w:rPr>
        <w:t>E. 11</w:t>
      </w:r>
    </w:p>
    <w:p>
      <w:r>
        <w:t>al. 1 let. c LPC), la fortune déterminante s'élève alors à CHF 18'837.38 ([225'873.75 - 37'500] / 10) pour la période litigieuse du 1 er septembre au 31 décembre 2020. Ajoutée aux rentes de l'AVS (art. 11 al. 1 let. d LPC) de CHF 28'440.-, le revenu déterminant de la recourante se monte à CHF 47'277.38 (ce, sans même inclure le produit de la fortune [cf. art. 11 al. 1 let. b LPC]). Le revenu déterminant étant supérieur aux dépenses reconnues de CHF 39'874.- (CHF 19'450.- depuis le 1 er janvier 2019 [besoins vitaux; art. 10 al. 1 let. a LPC] + CHF 13'200.- [loyer; art. 10 al. 1 let. b ch. 1 LPC] + CHF 7'224.- [montant forfaitaire annuel pour l’assurance obligatoire des soins; art. 10 al. 3 let. d LPC et ordonnance du Département fédéral de l'intérieur [DFI] du 30 octobre 2019 relative aux primes moyennes 2020 de l'assurance obligatoire des soins pour le calcul des prestations complémentaires]), il convient de confirmer la décision querellée en tant qu'elle nie le droit de la recourante aux prestations complémentaires fédérales du 1 er septembre au 31 décembre 2020. Il s'ensuit que les prestations qui lui avaient été versées l'ont été à tort. De même, pour la période litigieuse du 1 er janvier au 30 juin 2021, au vu de la franchise de CHF 37'500.- sur la fortune, et de la part de la fortune prise en considération à 1/10 ème , il en résulte une fortune de CHF 17'837.38 ([215'873.75 - 37'500] / 10). Ajoutée aux rentes de l'AVS de CHF 28'680.-, le revenu déterminant de la recourante s'élève à CHF 46'517.38 (ce, sans même inclure le produit de la fortune). Ce montant étant supérieur aux dépenses reconnues de CHF 40'082.- (CHF 19'610.- dès le 1 er janvier 2021 [besoins vitaux] + CHF 13'200.- [loyer] + CHF 7'272.- [montant forfaitaire annuel pour l’assurance obligatoire des soins; ordonnance du DFI du 21 octobre 2020 relative aux primes moyennes 2021 de l'assurance obligatoire des soins pour le calcul des prestations complémentaires]), il convient de confirmer la décision attaquée en tant qu'elle nie le droit de la recourante aux prestations complémentaires fédérales pendant cette période. Par conséquent, les prestations qui lui avaient été versées l'ont été à tort.</w:t>
      </w:r>
    </w:p>
    <w:p>
      <w:r>
        <w:rPr>
          <w:b/>
        </w:rPr>
        <w:t>E. 11.1</w:t>
      </w:r>
    </w:p>
    <w:p>
      <w:r>
        <w:t>À l'appui de son recours, la recourante, qui conteste l'intégration de ces montants dans le calcul des prestations complémentaires fédérales, a versé au dossier: ![endif]&gt;![if&gt; a.    une facture du 6 novembre 2012 que lui a adressée les B______ SA en lien avec les obsèques de sa mère décédée le 4 novembre 2012, ainsi qu'un document sur lequel elle a listé tous les frais encourus relatifs audit décès toutefois, ces dépenses ne sauraient être prises en compte, dès lors qu'elles n'ont pas été effectuées durant la période déterminante du 1 er juin au 31 décembre 2018; ![endif]&gt;![if&gt; b.    des formulaires de demande de service pour les cartes prépayées Postepay, ainsi que trois décomptes séparés enregistrant les débits et crédits entre 2009 et 2012 de la titulaire de la carte, dont la recourante, M mes C______ et D______ ceci étant, les décomptes des deux dernières personnes ne sont pas pertinents, puisqu'ils ne concernent pas la recourante; quant à son décompte, on ne peut pas admettre, comme elle l'allègue, que les crédits y comptabilisés (variant entre EUR 150.- et 500.-) font état de prêts obtenus à l'époque qu'elle aurait remboursés au moyen de son capital LPP en 2018, car elle n'a produit aucun justificatif attestant de prêts (de l'ordre desdits montants) qui lui auraient été accordés, d'autant moins que, sur le décompte, sous la rubrique « description », le nom de tierce personne ne figure pas; en d'autres termes, ledit décompte ne permet pas d'établir qu'elle aurait reçu des virements de la part de tiers; ![endif]&gt;![if&gt; c.    l'ordre de paiement du 4 juin 2018 d'un montant de CHF 31'500.- en faveur de E______, celui du 13 juin 2018 d'un montant de EUR 20'000.- en faveur de F______ et la confirmation de l'ordre du 4 juin 2018 d'un montant de CHF 23'000.-en faveur de G______ ne prouvent pas non plus qu'elle aurait remboursé des prêts qui lui auraient été concédés par ces individus, ces derniers ne l'attestant dans aucune pièce au dossier; ![endif]&gt;![if&gt; d.   le document signé le 16 juin 2018 par « H______ » dans lequel il atteste avoir reçu la somme de CHF 4'800.- de la part de la recourante pour solde de tout compte doit être écarté, car, à lui seul, il ne suffit pas non plus à confirmer que celui-là aurait auparavant prêté de l'argent à celle-ci, aucun document antérieur ne faisant état d'un prêt; ![endif]&gt;![if&gt; e.    le document ni signé ni daté produit le 12 septembre 2022 dans lequel il est indiqué que la recourante a payé CHF 2'000.- à un notaire à Coire ne peut pas être pris en considération, dès lors qu'en l'absence de justificatif (par ex.: récépissé de paiement mentionnant les coordonnées du destinataire), il ne s'agit que d'un allégué; ![endif]&gt;![if&gt; f.     le contrat de courtage du 10 juillet 2008 non signé n'est pas pertinent, d'autant moins qu'à teneur de ce document, c'est la recourante qui aurait dû percevoir une commission de 2% sur une « affaire », étant relevé qu'elle n'a fourni aucune pièce (par ex.: plainte pénale, jugement pénal) permettant de penser qu'elle aurait été, ainsi qu'elle le prétend, victime d'actes d'escroquerie (ce, sans avoir commis dans ce cadre une négligence grave qui justifierait de ne pas assimiler l'argent dilapidé à un dessaisissement de fortune [cf. arrêt du Tribunal fédéral P.55/05 du 26 janvier 2007 consid. 5]). ![endif]&gt;![if&gt; Force est de constater que lesdites pièces ne permettent pas de justifier la diminution de la fortune de la recourante entre le 1 er juin et le 31 décembre 2018. Tout au plus peut-on reconnaître qu'elle a remboursé un prêt de CHF 45'400.- le 12 juin 2018 à I______ ainsi que de EUR 10'300.- à J______. Une lettre du 9 mars 2007, signée par le premier et la recourante, fait état d'un emprunt de CHF 85'000.- et dans un pli du 11 octobre 2018 celui-ci confirme avoir reçu un montant de CHF 45'400.- le 12 juin 2018 de la recourante pour solde de tout compte. Dans un document du 13 août 2018, la seconde atteste avoir reçu de la recourante la somme de EUR 10'300.- qui lui a été prêtée (contre-valeur de CHF 12'241.55 selon le cours EUR 1.- = CHF 1.1885 figurant sur le relevé bancaire de celle-ci).</w:t>
      </w:r>
    </w:p>
    <w:p>
      <w:r>
        <w:rPr>
          <w:b/>
        </w:rPr>
        <w:t>E. 11.2</w:t>
      </w:r>
    </w:p>
    <w:p>
      <w:r>
        <w:t>Nonobstant ce qui précède, cela n'a aucune incidence sur l'issue du litige. ![endif]&gt;![if&gt; En effet, si l'on déduit CHF 57'641.55 (45'400 + 12'241.55) de CHF 293'515.30, il en résulte une diminution de fortune inexpliquée de CHF 235'873.75 (293'515.30 - 57'641.55), qui doit être reportée au 1 er janvier 2019, puis réduite chaque année. Il y a donc lieu de retenir un dessaisissement de fortune de CHF 225'873.75 dès le 1 er janvier 2020, et de CHF 215'873.75 dès le 1 er janvier 2021. Compte tenu de la franchise de CHF 37'500.- sur la fortune, et de la part de la fortune prise en considération à 1/10 ème pour les bénéficiaires de rentes AVS (art.</w:t>
      </w:r>
    </w:p>
    <w:p>
      <w:r>
        <w:rPr>
          <w:b/>
        </w:rPr>
        <w:t>E. 12</w:t>
      </w:r>
    </w:p>
    <w:p>
      <w:r>
        <w:t>À toutes fins utiles, on relèvera que s'agissant du calcul des prestations complémentaires cantonales durant la période litigieuse du 1 er septembre 2020 au 30 juin 2021, c'est à juste titre que l'intimé a tenu compte de la rente de prévoyance hypothétique (CHF 19'668.-), dès lors que le capital de prévoyance encaissé par la recourante le 1 er juin 2018 n'a pas été entièrement affecté à la couverture de ses besoins vitaux (cf. consid. 9.2-9.4 ci-dessus). En effet, si celle-ci avait utilisé son capital LPP à la couverture de ses besoins vitaux uniquement, il aurait dû lui rester, à tout le moins, un montant de l'ordre de CHF 164'611.- au 30 juin 2021 (324'118 – 159'507; CHF 159'507.- = CHF 30'000.- forfait PCC [art. 3 al. 1 let. e et al. 2 du règlement relatif aux prestations cantonales complémentaires à l'assurance-vieillesse et survivants et à l’assurance-invalidité du 25 juin 1999 [RPCC- AVS/AI - J 4 25.03] + CHF 14'460.- [loyer y compris les charges] + 7'272.- [primes pour l'assurance obligatoire des soins] = 51'732.- par année / 12 = 4'311.- par mois × 37 mois écoulés du 1 er juin 2018 au 30 juin 2021, étant souligné que le montant des besoins vitaux ici calculé à hauteur de CHF 159'507.- est favorable à la recourante, puisque le forfait PCC et les primes pris en considération pendant les 37 mois sont ceux valables dès le 1 er janvier 2021, alors que ceux-ci sont d'un montant inférieur de 2018 à 2020). ![endif]&gt;![if&gt;</w:t>
      </w:r>
    </w:p>
    <w:p>
      <w:r>
        <w:rPr>
          <w:b/>
        </w:rPr>
        <w:t>E. 13</w:t>
      </w:r>
    </w:p>
    <w:p>
      <w:r>
        <w:t>Pour le surplus, après s'être rendu compte, au plus tôt le 29 avril 2021, du dessaisissement de fortune fait nouveau découvert après coup susceptible de modifier le calcul des prestations et justifiant avec effet ex tunc la révision procédurale des décisions précédemment rendues d'octroi de prestations complémentaires (arrêt du Tribunal fédéral 9C_522/2021 du 29 juin 2022 consid. 4.1) , en réclamant, par décision du 23 juin 2021, la restitution des prestations complémentaires fédérales versées indûment du 1 er septembre 2020 au 30 juin 2021, l'intimé a respecté tant le délai relatif de trois ans à compter du moment où il a eu connaissance des faits que le délai absolu de cinq ans après le versement de la prestation (art. 25 al. 1 et 2 – dans sa teneur en vigueur depuis le 1 er janvier 2021 – LPGA). ![endif]&gt;![if&gt;</w:t>
      </w:r>
    </w:p>
    <w:p>
      <w:r>
        <w:rPr>
          <w:b/>
        </w:rPr>
        <w:t>E. 14</w:t>
      </w:r>
    </w:p>
    <w:p>
      <w:r>
        <w:t>La recourante ayant produit les pièces à l'appui de ses allégués (réplique du 12 septembre 2022), par appréciation anticipée des preuves (ATF 122 II 464 consid. 4a), il n'est pas nécessaire de l'entendre oralement. ![endif]&gt;![if&gt;</w:t>
      </w:r>
    </w:p>
    <w:p>
      <w:r>
        <w:rPr>
          <w:b/>
        </w:rPr>
        <w:t>E. 15</w:t>
      </w:r>
    </w:p>
    <w:p>
      <w:r>
        <w:t>Au vu de ce qui précède, le recours est rejeté. ![endif]&gt;![if&gt;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