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A/802/2018 vom 29. Mai 2018</w:t>
      </w:r>
    </w:p>
    <w:p>
      <w:r>
        <w:t>GE Cour de justice, 2018-05-29, FR</w:t>
      </w:r>
    </w:p>
    <w:p>
      <w:r>
        <w:rPr>
          <w:b/>
        </w:rPr>
        <w:t xml:space="preserve">Quelle: </w:t>
      </w:r>
      <w:r>
        <w:t>https://mcp.opencaselaw.ch/entscheid/ge_gerichte_A_802_2018</w:t>
      </w:r>
    </w:p>
    <w:p>
      <w:r>
        <w:t>FR: GE_GERICHTE A/802/2018 du 29 mai 2018</w:t>
      </w:r>
    </w:p>
    <w:p>
      <w:r>
        <w:t>IT: GE_GERICHTE A/802/2018 del 29 maggio 2018</w:t>
      </w:r>
    </w:p>
    <w:p>
      <w:pPr>
        <w:pStyle w:val="Heading2"/>
      </w:pPr>
      <w:r>
        <w:t>Erwägungen</w:t>
      </w:r>
    </w:p>
    <w:p>
      <w:r>
        <w:rPr>
          <w:b/>
        </w:rPr>
        <w:t>E. 2</w:t>
      </w:r>
    </w:p>
    <w:p>
      <w:r>
        <w:t>Les enfants non genevois domiciliés hors canton peuvent être scolarisés très exceptionnellement à Genève, selon les termes fixés par la convention intercantonale réglant la fréquentation d'une école située dans un autre canton que celui de domicile.</w:t>
      </w:r>
    </w:p>
    <w:p>
      <w:r>
        <w:rPr>
          <w:b/>
        </w:rPr>
        <w:t>E. 3</w:t>
      </w:r>
    </w:p>
    <w:p>
      <w:r>
        <w:t>La demande d’admission au sens de l’alinéa 1 doit être déposée auprès de la direction générale de l’enseignement obligatoire dans le délai fixé chaque année par le département et publié sur le site Internet de ce dernier » . Cette teneur reprend celle de l’art. 23 en vigueur jusqu’au 14 février 2018. 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 23A » (art. 75 REP). En l’espèce, la demande d’admission pour l’année scolaire a été adressée à l’autorité compétente le 29 janvier 2018. Elle tombait alors sous le coup de l’art. 23 aREP. Compte tenu de la teneur identique de ce dernier article à celle de de l’art. 23A REP et du texte de la disposition transitoire, le cas peut être tranché dans le cadre du droit actuel. 3) Il n’est pas contesté que la demande d’admission en cause a été présentée dans le délai fixé par le DIP, publié sur son site internet, échéant le 31 janvier 2018. ![endif]&gt;![if&gt; 4) Il ressort des écritures du DIP que jusque dans le courant du mois de janvier 2018, la pratique était d’accepter toutes les demandes d’admission dans l’enseignement obligatoire genevois d’élèves remplissant les critères scolaires qui étaient domiciliés hors canton , cela sans qu’il y ait une limite de places disponibles. Cette pratique a été appliquée aux 280 demandes déjà traitées pour la rentrée scolaire 2018-2019. Le refus de la demande d’admission de l’enfant des recourants en raison du seul manque de places disponibles, intervenu en cours du processus d’admission pour la rentrée 2018, constitue ainsi un changement de la pratique administrative.![endif]&gt;![if&gt;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b.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Il protège le citoyen dans la confiance légitime qu’il met dans les assurances reçues des autorités lorsqu'il a règle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des intéressés. Enfin, dans le présent cas, le service en charge des admissions à l’école obligatoire d’élèves domiciliés en France avait, de surcroît, donné des garanties aux recourants que l’inscription de leur fille serait acceptée. Cette assurance, donnée par le service compétent en la matière, lie l’intimé, sauf à se voir reprocher un comportement contraire au principe de la bonne foi. Au vu de ce qui précède, le recours sera admis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5) 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6) Aucun émolument ne sera perçu malgré l’issue du litige (art. 87 al. 1 LPA). Aucune indemnité de procédure ne sera allouée, les recourants agissant en personne et n’ayant pas exposé avoir encouru de frais pour la défense de leurs intérêts.![endif]&gt;![if&gt;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