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A/800/2013 vom 24. Juni 2013</w:t>
      </w:r>
    </w:p>
    <w:p>
      <w:r>
        <w:t>GE Cour de justice, 2013-06-24, FR</w:t>
      </w:r>
    </w:p>
    <w:p>
      <w:r>
        <w:rPr>
          <w:b/>
        </w:rPr>
        <w:t xml:space="preserve">Quelle: </w:t>
      </w:r>
      <w:r>
        <w:t>https://mcp.opencaselaw.ch/entscheid/ge_gerichte_A_800_2013</w:t>
      </w:r>
    </w:p>
    <w:p>
      <w:r>
        <w:t>FR: GE_GERICHTE A/800/2013 du 24 juin 2013</w:t>
      </w:r>
    </w:p>
    <w:p>
      <w:r>
        <w:t>IT: GE_GERICHTE A/800/2013 del 24 giugno 2013</w:t>
      </w:r>
    </w:p>
    <w:p>
      <w:pPr>
        <w:pStyle w:val="Heading2"/>
      </w:pPr>
      <w:r>
        <w:t>Erwägungen</w:t>
      </w:r>
    </w:p>
    <w:p>
      <w:r>
        <w:rPr>
          <w:b/>
        </w:rPr>
        <w:t>E. 2</w:t>
      </w:r>
    </w:p>
    <w:p>
      <w:r>
        <w:t>Est litigieuse la question de savoir si l'intimé a refusé à juste titre toute prestation à la recourante.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 non publié I 654/00 du 9 avril 2001, consid. 1). d. Pour évaluer le taux d'invalidité dans la sphère professionnelle,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(ATF 130 V 97 ). e. Afin de calculer le degré d’invalidité,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w:t>
      </w:r>
    </w:p>
    <w:p>
      <w:r>
        <w:rPr>
          <w:b/>
        </w:rPr>
        <w:t>E. 3</w:t>
      </w:r>
    </w:p>
    <w:p>
      <w:r>
        <w:t>En l'espèce, l'expertise réalisée par le Dr L___________ doit se voir reconnaître pleine valeur probante. Elle contient une anamnèse, tient compte des plaintes de l'assurée, des traitements suivis et en cours, des rapports médicaux, des renseignements fournis par le psychiatre traitant et comporte une discussion circonstanciée. Les conclusions auxquelles parvient l'expert sont motivées, claires et ne présentent pas de contradictions, ni entre elles ni avec le corps de l'expertise. L'expert expose en quoi le diagnostic de trouble dépressif récurrent, avec épisode actuel moyen, entraîne des limitations fonctionnelles (tristesse, fatigabilité avec manque d'envie, anxiété, sentiment de désespoir et de solitude) justifiant l'incapacité de travail à 50%, à savoir quatre heures par jour. La reprise d'une activité à temps partiel pourrait être bénéfique pour l'assurée, tant sur le plan de sa thymie que du diabète. Il n'y avait pas lieu de prévoir des mesures de réadaptation professionnelle. Le diagnostic posé par l'expert est corroboré par l'avis du psychiatre traitant, le Dr M__________, qui retient, dans son rapport du 6 décembre 2011, un trouble dépressif récurrent épisode actuel moyen. De même, le médecin traitant généraliste, le Dr N__________ retient un état dépressif récurrent avec anxiété majeure, somatisation et épisodes délirants, précisant les périodes de décompensation. Celui-ci indique également que le diabète n'a pas d'influence sur la capacité de travail. Le diagnostic supplémentaire d'état post-traumatique évoqué par la Dresse O__________ le 30 novembre 2010 n'est partagé par aucun de ses confères. Par ailleurs, l'expert explique pour quelle raison il ne le retient pas. Il n'y a donc pas lieu d'en tenir compte. Les autres rapports médicaux figurant au dossier se rapportent à des périodes de décompensation, pendant lesquelles la dépression a été reconnue comme sévère; celles-ci sont antérieures au mois de mai 2012. Les médecins traitant évoquent, certes, une incapacité de travail totale même après le mois de mai 2012. Il s'agit toutefois d'appréciations différentes du même diagnostic, d'une part. D'autre part, compte tenu du lien thérapeutique unissant la recourante à ces praticiens, leur avis doit être apprécié avec circonspection. Ceux-ci ne sont donc pas de nature à invalider les conclusions de l'expert. En outre, l'expert expose de manière convaincante que la symptomatologie dépressive présentée par l'expertisée n'est pas incompatible avec une activité professionnelle et qu'une reprise d'activité à temps partiel est susceptible de sortir la recourante de son isolement et, par là même, d'avoir un effet thérapeutique et donc antidépresseur. Enfin, les difficultés signalées par la recourante relatives aux effets secondaires induits par les médicaments ne sont corroborés par aucune pièce médicale. Aucun médecin n'en a fait état, et la recourante ne l'a pas non plus évoqué lors de l'expertise. L'attestation de son médecin du 13 mars 2013 n'y fait pas davantage référence. Il y a ainsi lieu de retenir, sous l'angle de la vraisemblance prépondérante, qu'au moment où la décision querellée a été rendue, l'interaction entre les différents médicaments prescrits à la recourante n'engendrait pas d'incapacité de travail. Si un tel problème est surgi postérieurement à ce moment et qu'il persiste malgré un suivi médical adéquat, notamment la semaine d'hospitalisation prévue en mai 2013 pour le suivi du diabète, il appartiendra à la recourante de le signaler à l'intimé, afin que celui-ci examine s'il y a lieu à révision. Au vu de ce qui précède, la Cour se rallie aux conclusions de l'expertise et retient que l'assurée était totalement incapable de travailler jusqu'au mois de mai 2012 et est, depuis lors, capable de travailler à 50% (à savoir quatre heures par jour). Compte tenu de l'incapacité de travail totale jusqu'en mai 2012 et de l'activité professionnelle exercée à 25% (2 heures par jour), le degré d'invalidité dans la sphère professionnelle en résultant pour l'assurée est de 25% jusqu'à fin avril 2012 et de 0% depuis lors.</w:t>
      </w:r>
    </w:p>
    <w:p>
      <w:r>
        <w:rPr>
          <w:b/>
        </w:rPr>
        <w:t>E. 4</w:t>
      </w:r>
    </w:p>
    <w:p>
      <w:r>
        <w:t>Afin d'évaluer l'incapacité dans la sphère ménagère, l'intimé a diligenté une enquête ménagère. a. Une telle enquête, effectuée au domicile de la personne constitue en règle générale une base appropriée et suffisante pour évaluer les empêchements dans l'accomplissement des travaux habituels.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En outre, pour dénier toute valeur au rapport d'enquête économique sur le ménage, il ne suffit pas d'émettre la vague hypothèse que les éléments pris en considération pourraient être sous- ou surestimés, mais il convient de critiquer précisément les points du rapport qui sont contestés (ATF 9C_512/2010 du 14 avril 2011 consid. 2.1.2). Au vu de son obligation de réduire le dommage, la personne assurée est, notamment, tenue de demander l'aide de ses proches dans une mesure convenable (ATF 133 V 504 consid. 4.2). Ainsi, les empêchements de l'assurée doivent être évalués en tenant compte de l'aide que l'on peut exiger des membres de la famille au titre de l'obligation de réduire le dommage (ATF 130 V 97 consid. 3.2; 123 V 230 consid. 3c). b. Il ressort des descriptions faites par l'enquêtrice des conditions de logement (cuisinière électrique, réfrigérateur, aspirateur, parquet dans toutes les pièces etc.) que celle-ci s'est rendue dans le logement de la recourante. Les indications relatives à la répartition des tâches entre elle et sa fille ne peuvent reposer que sur les explications fournies par l'assurée elle-même. Il en va de même des tâches que le rapport consigne comme étant accomplies par la recourante. L'enquêtrice a ensuite expliqué quelles seraient les activités ménagères que l'intéressée demeure apte à effectuer elle-même au regard de ses limitations fonctionnelles et quel degré de participation peut être exigé de la fille de celle-ci. Les différents postes d'activité ménagère retenus, leur pondération, l'évaluation de l'empêchement et du degré d'invalidité les concernant semblent, au degré de la vraisemblance prépondérante, compatibles avec l'état de santé de la recourante, l'âge de sa fille aînée, les conditions de logement et l'aide fournie par celle-ci. L'exigibilité de la participation de la fille n'est, compte tenu de l'âge de celle-ci, pas déraisonnable. Aucun élément ne justifie ainsi de s'écarter du rapport d'enquête économique sur le ménage. Un degré d'invalidité de 6,9% dans l'activité ménagère sera ainsi retenu.</w:t>
      </w:r>
    </w:p>
    <w:p>
      <w:r>
        <w:rPr>
          <w:b/>
        </w:rPr>
        <w:t>E. 5</w:t>
      </w:r>
    </w:p>
    <w:p>
      <w:r>
        <w:t>Dès lors que la recourante a travaillé à 25% avant son incapacité de travail et qu'elle a indiqué qu'elle continuerait à exploiter sa capacité de travail au même taux d'activité si elle n'était pas atteinte dans sa santé, il convient de retenir un statut mixte comportant 25% d'activité professionnelle et 75% d'activité de ménagère. Vu le statut mixte de la recourante, son degré d'invalidité total s'est ainsi monté jusqu'au mois de mai 2012 à 31,9% (25% + 6,9%), puis depuis lors à 6,9% (0% + 6,9%). Ces taux étant inférieurs à 40%, l'intimé a refusé à juste titre ses prestations.</w:t>
      </w:r>
    </w:p>
    <w:p>
      <w:r>
        <w:rPr>
          <w:b/>
        </w:rPr>
        <w:t>E. 6</w:t>
      </w:r>
    </w:p>
    <w:p>
      <w:r>
        <w:t>Le recours est donc rejeté. La recourante étant au bénéfice des prestations de l'Hospice général, il est renoncé à la perception d'un émolument.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