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A/795/2022 vom 6. Oktober 2022</w:t>
      </w:r>
    </w:p>
    <w:p>
      <w:r>
        <w:t>GE Cour de justice, 2022-10-06, FR</w:t>
      </w:r>
    </w:p>
    <w:p>
      <w:r>
        <w:rPr>
          <w:b/>
        </w:rPr>
        <w:t xml:space="preserve">Quelle: </w:t>
      </w:r>
      <w:r>
        <w:t>https://mcp.opencaselaw.ch/entscheid/ge_gerichte_A_795_2022</w:t>
      </w:r>
    </w:p>
    <w:p>
      <w:r>
        <w:t>FR: GE_GERICHTE A/795/2022 du 6 octobre 2022</w:t>
      </w:r>
    </w:p>
    <w:p>
      <w:r>
        <w:t>IT: GE_GERICHTE A/795/2022 del 6 ottobre 2022</w:t>
      </w:r>
    </w:p>
    <w:p>
      <w:pPr>
        <w:pStyle w:val="Heading2"/>
      </w:pPr>
      <w:r>
        <w:t>Erwägungen</w:t>
      </w:r>
    </w:p>
    <w:p>
      <w:r>
        <w:rPr>
          <w:b/>
        </w:rPr>
        <w:t>E. 3</w:t>
      </w:r>
    </w:p>
    <w:p>
      <w:r>
        <w:t>Il convient tout d'abord d'examiner brièvement la demande de la recourante visant à la fixation d'une troisième audience. Au vu des circonstances (deux audiences convoquées et annulées par la faute de l'intéressée), mais aussi du fait que la recourante a eu l'occasion de faire valoir ses arguments par écrit, la fixation d'une audience ne se justifie pas. ![endif]&gt;![if&gt; On rappellera à cet égard que les garanties minimales en matière de droit d'être entendu découlant de l'art. 29 al. 2 Cst. ne comprennent en principe pas le droit d'être entendu oralement (ATF 140 I 68 consid. 9.6.1 p. 76; arrêt 8C_72/2018 du 13 novembre 2018 consid. 2.2 et les références). La jurisprudence a en revanche déduit de ces garanties, le droit pour le justiciable de s'exprimer dans le cadre de la procédure, avant qu'une décision soit prise à son détriment, ce qui suppose que la possibilité lui soit concrètement offerte de faire entendre son point de vue (droit à la réplique ; ATF 138 I 484 consid. 2.1 p. 485 et les arrêts cités). Tel a été le cas en l'occurrence.</w:t>
      </w:r>
    </w:p>
    <w:p>
      <w:r>
        <w:rPr>
          <w:b/>
        </w:rPr>
        <w:t>E. 4</w:t>
      </w:r>
    </w:p>
    <w:p>
      <w:r>
        <w:t>Le litige porte sur le bien-fondé de la suspension de trois jours de l’indemnité de chômage de la recourante pour ne pas avoir donné suite, dans les délais, à l’assignation du 8 septembre 2021. ![endif]&gt;![if&gt;</w:t>
      </w:r>
    </w:p>
    <w:p>
      <w:r>
        <w:rPr>
          <w:b/>
        </w:rPr>
        <w:t>E. 4.1</w:t>
      </w:r>
    </w:p>
    <w:p>
      <w:r>
        <w:t>L'art. 8 LACI énumère les conditions d'octroi de l'indemnité de chômage.![endif]&gt;![if&gt;</w:t>
      </w:r>
    </w:p>
    <w:p>
      <w:r>
        <w:rPr>
          <w:b/>
        </w:rPr>
        <w:t>E. 4.1.1</w:t>
      </w:r>
    </w:p>
    <w:p>
      <w:r>
        <w:t>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![endif]&gt;![if&gt;</w:t>
      </w:r>
    </w:p>
    <w:p>
      <w:r>
        <w:rPr>
          <w:b/>
        </w:rPr>
        <w:t>E. 4.1.2</w:t>
      </w:r>
    </w:p>
    <w:p>
      <w:r>
        <w:t>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IC).![endif]&gt;![if&gt;</w:t>
      </w:r>
    </w:p>
    <w:p>
      <w:r>
        <w:rPr>
          <w:b/>
        </w:rPr>
        <w:t>E. 4.1.3</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17).![endif]&gt;![if&gt;</w:t>
      </w:r>
    </w:p>
    <w:p>
      <w:r>
        <w:rPr>
          <w:b/>
        </w:rPr>
        <w:t>E. 4.2</w:t>
      </w:r>
    </w:p>
    <w:p>
      <w:r>
        <w:t>La violation de ces obligations expose l’assuré à une suspension de son droit à l’indemnité.![endif]&gt;![if&gt;</w:t>
      </w:r>
    </w:p>
    <w:p>
      <w:r>
        <w:rPr>
          <w:b/>
        </w:rPr>
        <w:t>E. 4.2.1</w:t>
      </w:r>
    </w:p>
    <w:p>
      <w:r>
        <w:t>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d).![endif]&gt;![if&gt;</w:t>
      </w:r>
    </w:p>
    <w:p>
      <w:r>
        <w:rPr>
          <w:b/>
        </w:rPr>
        <w:t>E. 4.2.2</w:t>
      </w:r>
    </w:p>
    <w:p>
      <w:r>
        <w:t>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825).![endif]&gt;![if&gt;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4.3</w:t>
      </w:r>
    </w:p>
    <w:p>
      <w:r>
        <w:t>La durée de la suspension est proportionnelle à la gravité de la faute (art. 30 al. 3 LACI ; arrêt du Tribunal fédéral des assurances C 254/06 du 26 novembre 2007 consid. 5.3).![endif]&gt;![if&gt;</w:t>
      </w:r>
    </w:p>
    <w:p>
      <w:r>
        <w:rPr>
          <w:b/>
        </w:rPr>
        <w:t>E. 4.3.1</w:t>
      </w:r>
    </w:p>
    <w:p>
      <w:r>
        <w:t>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OACI).![endif]&gt;![if&gt;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8C_425/2014 du 12 août 2014 consid. 5.1). Il n’est pas nécessaire qu’un assuré ait été renseigné au sujet de son obligation d’accepter un emploi convenable pour qu’une sanction puisse être prononcée en cas de refus d’emploi (Boris RUBIN, op. cit., n. 11 ad art. 16, n. 63 ad art. 30).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La jurisprudence en la matière est cependant très restrictive. Le Tribunal fédéral a notamment estimé qu’il y avait absence de motif valable s’agissant d’une assurée qui avait tardé à donner suite à une assignation de son conseiller, parce que son enfant de 11 mois était tombé malade et qu’elle avait dû se rendre à l’hôpital et chez son pédiatre les jours suivants ; l’intéressée avait postulé six jours après la fin de l’empêchement éventuel, ce qu’il fallait considérer comme tardif (arrêt du Tribunal fédéral des assurances C 245/06 du 2 novembre 2007). Par ailleurs, de manière générale, le Tribunal fédéral a jugé qu’on ne pouvait se fonder sur la durée du retard de postulation pour évaluer le degré de la faute, sans tenir compte des circonstances subjectives et objectives du cas d’espèce (arrêt du Tribunal fédéral 8C_285/2011 du 22 août 2011). Le contraire conduirait à une évaluation indifférenciée de la faute.</w:t>
      </w:r>
    </w:p>
    <w:p>
      <w:r>
        <w:rPr>
          <w:b/>
        </w:rPr>
        <w:t>E. 4.3.2</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![endif]&gt;![if&gt;</w:t>
      </w:r>
    </w:p>
    <w:p>
      <w:r>
        <w:rPr>
          <w:b/>
        </w:rPr>
        <w:t>E. 4.3.3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références).![endif]&gt;![if&gt;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il y a lieu d'admettre, à l’instar de l’intimé, que l'assurée a réagi tardivement à l'injonction de sa conseillère à postuler ce qui, selon la jurisprudence exposée ci-dessus, est assimilable à un refus de travail. C’est donc à bon droit que l’intimé l’a sanctionnée, d'autant que l'obligation de donner suite à l'assignation et les conséquences en cas de non-observation des instructions étaient clairement rappelées dans le texte de l'assignation elle-même. La recourante ne pouvait donc ignorer les conséquences de ses actes, d’autant moins que sa conseillère en personnel lui avait confirmé, en date du 8 septembre 2021 déjà, que même si elle ne remplissait pas tous les critères du poste, il lui incombait néanmoins d’envoyer sa candidature.![endif]&gt;![if&gt; La recourante juge cependant la sanction appliquée (trois jours) particulièrement sévère au vu du fait qu'elle a postulé le jour ouvrable suivant l'échéance du délai, d'une part, que durant cette période, son médecin avait suggéré de la mettre en arrêt de travail, proposition qu'elle avait déclinée, d'autre part. Les arguments de la recourante n'apparaissent cependant pas recevables. On soulignera en premier lieu la modération dont a fait preuve l'intimé dans la fixation de la sanction, dont la quotité correspond à une faute légère. Il apparaît donc que l'intimé a d'ores et déjà tenu compte de la modicité du retard pris par la recourante. Quant au fait que l'assurée aurait pu être en arrêt de travail au moment des faits, il importe peu : en effet, ce n'est pas son état de santé qui l'a empêchée de postuler dans les délais, puisqu'elle a été capable de le faire finalement et d'échanger plusieurs courriels avec sa conseillère durant la période considérée. Il ne s'agit dés lors pas d'un motif valable pour renoncer à toute sanction au vu de la jurisprudence restrictive de notre Haute Cour rappelée supra. Au vu de ce qui précède, la sanction appliquée n'apparaît pas critiquable.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