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A/795/2010 vom 29. April 2010</w:t>
      </w:r>
    </w:p>
    <w:p>
      <w:r>
        <w:t>GE Cour de justice, 2010-04-29, FR</w:t>
      </w:r>
    </w:p>
    <w:p>
      <w:r>
        <w:rPr>
          <w:b/>
        </w:rPr>
        <w:t xml:space="preserve">Quelle: </w:t>
      </w:r>
      <w:r>
        <w:t>https://mcp.opencaselaw.ch/entscheid/ge_gerichte_A_795_2010</w:t>
      </w:r>
    </w:p>
    <w:p>
      <w:r>
        <w:t>FR: GE_GERICHTE A/795/2010 du 29 avril 2010</w:t>
      </w:r>
    </w:p>
    <w:p>
      <w:r>
        <w:t>IT: GE_GERICHTE A/795/2010 del 29 aprile 2010</w:t>
      </w:r>
    </w:p>
    <w:p>
      <w:pPr>
        <w:pStyle w:val="Heading2"/>
      </w:pPr>
      <w:r>
        <w:t>Regeste</w:t>
      </w:r>
    </w:p>
    <w:p>
      <w:r>
        <w:t>Procès-verbal de saisie valant acte de défaut de biens. | Plainte rejetée. Il ressort de l'instruction de la cause que la débitrice n'a ni biens saisissables, ni revenus autres que des prestations d'assistance, lesquelles sont insaisissables. | LP.89 ; LP.92.1.ch.8</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1.b. Un procès-verbal de saisie valant acte de défaut de biens est un acte sujet à plainte. Le plaignant, en tant que poursuivant, a qualité pour agir par cette voie. Sa plainte a été déposée dans le délai (art. 17 al. 2 LP) et les formes prescrites (art. 13 al. 1, 2 et 5 LaLP ; art. 65 LPA).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La saisie peut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3.a. En l'espèce, le plaignant reproche à l'Office de ne pas s'être rendu au domicile de la débitrice pour y constater la présence d'éventuels biens mobiliers saisissables. Il ressort de l'instruction de la cause que l'Office s'est, en effet, contenté d'interroger la poursuivie dans ses locaux. Suite au dépôt de la plainte, il a toutefois remédier à cette carence et s'est rendu au domicile où il a constaté que la poursuivie, qui dispose d'une chambre chez sa sœur, ne possédait aucun bien saisissable. 3.b. Certes, le plaignant fait valoir que la débitrice vivrait chez son concubin à Confignon. A ce sujet, il sied toutefois de relever que, dans une précédente plainte dirigée contre un procès-verbal de saisie valant acte de défaut délivré dans le cadre d'une poursuite dirigée contre cette même débitrice, cet allégué avait déjà été invoqué par le plaignant (cause A/411/2007 ; DCSO/224/2007 du 3 mai 2002). L'Office, qui s'était rendu sur les lieux, avait constaté que dit concubin sous-louait un studio garni de meubles appartenant au locataire principal et que la débitrice, qui à l'époque déjà avait pour seul revenu des prestations versées par l'Hospice général (1'293 fr. par mois), ne possédait aucun bien saisissable à cette adresse. La situation financière de la poursuivie ne s'étant pas modifiée depuis lors, l'Office pouvait se dispenser de se rendre dans ce studio, où la débitrice a admis vivre de temps à autre. 4.a. Le plaignant fait grief à l'Office de ne pas avoir interrogé le débitrice au sujet de ses comptes bancaires et d'avoir omis de lui demander les justificatifs de ses charges et revenus. 4.b. En l'occurrence, la poursuivie a produit un relevé de son compte auprès de la Banque cantonale de Genève au 31 décembre 2009, sur lequel est versée la prestation de l'Hospice général, ainsi qu'un "décompte de virement" de cet établissement relatif au mois de janvier 2010 dont il ressort qu'elle ne perçoit aucun revenu. Au vu de ces pièces, l'Office n'avait pas à procéder à d'autres investigations, étant rappelé que sont absolument insaisissables les prestations d’assistance et subsides alloués par une caisse ou société de secours en cas de maladie, d’indigence, de décès, etc. (art. 92 ch. 8 LP) et que l’art. 8 al. 3 de la loi sur l'aide sociale individuelle (J 4 04 – LASI) déclare lesdites prestations incessibles et insaisissables.</w:t>
      </w:r>
    </w:p>
    <w:p>
      <w:r>
        <w:rPr>
          <w:b/>
        </w:rPr>
        <w:t>E. 5</w:t>
      </w:r>
    </w:p>
    <w:p>
      <w:r>
        <w:t>La plainte doit en conséquence être rejetée, dans la mesure où elle a conservé un objet. * * * * * PAR CES MOTIFS, LA COMMISSION DE SURVEILLANCE SIÉGEANT EN SECTION : A la forme : Déclare recevable la plainte formée le 4 mars 2010 par Me D______ contre le procès-verbal de saisie valant acte de défaut, poursuite n° 09 xxxx11 A. Au fond : 1. La rejette dans la mesure où elle a conservé un objet. 2. Déboute Me D______ de toutes autres conclusions. Siégeant : Mme Ariane WEYENETH, présidente ; Mme Valérie CARERA et M. Philipp GANZONI ,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