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A/790/2021 vom 25. Januar 2022</w:t>
      </w:r>
    </w:p>
    <w:p>
      <w:r>
        <w:t>GE Cour de justice, 2022-01-25, FR</w:t>
      </w:r>
    </w:p>
    <w:p>
      <w:r>
        <w:rPr>
          <w:b/>
        </w:rPr>
        <w:t xml:space="preserve">Quelle: </w:t>
      </w:r>
      <w:r>
        <w:t>https://mcp.opencaselaw.ch/entscheid/ge_gerichte_A_790_2021</w:t>
      </w:r>
    </w:p>
    <w:p>
      <w:r>
        <w:t>FR: GE_GERICHTE A/790/2021 du 25 janvier 2022</w:t>
      </w:r>
    </w:p>
    <w:p>
      <w:r>
        <w:t>IT: GE_GERICHTE A/790/2021 del 25 gennaio 2022</w:t>
      </w:r>
    </w:p>
    <w:p>
      <w:pPr>
        <w:pStyle w:val="Heading2"/>
      </w:pPr>
      <w:r>
        <w:t>Erwägungen</w:t>
      </w:r>
    </w:p>
    <w:p>
      <w:r>
        <w:rPr>
          <w:b/>
        </w:rPr>
        <w:t>E. 1</w:t>
      </w:r>
    </w:p>
    <w:p>
      <w:r>
        <w:t>La création par la main de l'homme, excluant toute modification naturelle du terrain telle que des éboulis ;</w:t>
      </w:r>
    </w:p>
    <w:p>
      <w:r>
        <w:rPr>
          <w:b/>
        </w:rPr>
        <w:t>E. 2</w:t>
      </w:r>
    </w:p>
    <w:p>
      <w:r>
        <w:t>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w:t>
      </w:r>
    </w:p>
    <w:p>
      <w:r>
        <w:rPr>
          <w:b/>
        </w:rPr>
        <w:t>E. 3</w:t>
      </w:r>
    </w:p>
    <w:p>
      <w:r>
        <w:t>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 /Alfred KUTTLER/ Pierre MOOR/ Alexander RUCH, Commentaire de la LAT, 2010, n. 24 ad art. 22 LAT). Des nattes en géotextile, utilisées pour aménager une parcelle d'une superficie de 5'773 m 2 , couvrant les talus en pente depuis plus de deux ans et demi sont indéniablement des éléments durablement fixés au sol (arrêt du 5 septembre 2011 du Tribunal fédéral du 1C_107/2011 consid. 3.3). Un abri mobile servant de logement pour des requérants d'asile remplit cette condition (exemple cité par Alexander RUCH, op. cit, p. 15) ;</w:t>
      </w:r>
    </w:p>
    <w:p>
      <w:r>
        <w:rPr>
          <w:b/>
        </w:rPr>
        <w:t>E. 4</w:t>
      </w:r>
    </w:p>
    <w:p>
      <w:r>
        <w:t>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GUY-ECABERT, op. cit., p. 216). L'élément déterminant n'est pas tant l'installation en soi que l'utilisation qui en sera faite et en particulier son impact sur l'environnement au sens large ( ATA/244/2013 du 16 avril 2013 ; ATA/61/2011 du 1 er février 2011 ; Alexander RUCH, op. cit., ad art. 22 n. 28 ; DFJP/OFAT, Étude relative à la loi fédérale sur l'aménagement du territoire, 1981, ad art. 22 n. 5 ss). Selon la jurisprudence du Tribunal fédéral, pour les impacts sur l'environnement, une place d'atterrissage pour planeurs, même sommairement aménagée (ATF 119 Ib 222 ), des installations d'éclairage d'une montagne (ATF 123 II 256), une installation d'effraiement des oiseaux (arrêt du Tribunal fédéral 1C_136/2007 ) sont soumises à autorisation. 6) a.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b. L'assujettissement a ainsi été admis pour une roulotte de grandes dimensions destinée à jouer le rôle d'une maison de vacances (ATF 100 Ib 482 consid. 4 p. 488), une clôture métallique de 2 m de haut hors de la zone à bâtir (ATF 118 Ib 49 ),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 mètres, appelées à s'atténuer avec le temps (arrêt du Tribunal fédéral 1C_618/2014 du 29 juillet 2015 et les références citées). Les plantes et plantations sont assimilées à des constructions et installations au sens du droit de la construction lorsqu'elles revêtent une importance particulière pour le voisinage, de par leur espèce, leur densité et leur disposition. C'est notamment le cas pour la plantation sur une terrasse en toiture d'une trentaine de thuyas en bacs, sur une longueur de 16 m et une hauteur de 2 m (CdE SZ 23.10.2012 ; EGV-SZ 2012, 136 = DC 2014, p. 92 No 90 cité in Journées suisses du droit de la construction 2015 ; Jean-Baptiste ZUFFEREY, p. 212, n. 99). À l'inverse, l'installation d'une tente du 18 au 28 juillet 2015 pour accueillir une manifestation d'une société locale, remontée pour un festival sur la même parcelle entre le 22 et le 25 août, puis un évènement local le 30 août 2015 avant d'être démontée, accompagnée d'un cabanon pour la période du 18 juillet au 2 août 2015, abritant un bar tenu par la jeunesse locale, n'entrait pas dans la catégorie des constructions au sens de l'art. 22 LAT, s'agissant d'installations présentes durant une « petite vingtaine de jours par année ». Elle ne représentait pas un aménagement durable et fixe (arrêt du Tribunal fédéral 1C_434/2016 du 8 avril 2016). Des plantes isolées ne sont pas soumises à autorisation de construire selon le droit fédéral. c. Dans un arrêt ATA/161/2021 du 9 février 2021, la chambre de céans a confirmé la qualification de constructions/installations au sens de l'art. 22 al. 1 LAT et nécessitaient une autorisation au sens de cette disposition et de l'art. 1 LCI à la création en zone agricole d'un paddock, d'un chemin d'accès, la pose d'une barrière, d'un marcheur à chevaux et d'un abri en bois pour ces derniers. En particulier, le critère de l'incidence sur l'affectation du sol était réalisé. Toutes les installations en cause avaient un impact visuel sur le paysage. Peu importait à cet égard que les voisins ne se trouvent qu'à 500 m et que les constructions aient un effet sur l'environnement au sens large : le paddock et son chemin d'accès, l'emplacement du marcheur et le sol du couvert en bois n'étaient plus voués à la culture. L'excavation de la surface du paddock sur 25 cm et la couverture de l'intégralité de la surface par du sable, ce qui valait aussi pour le chemin d'accès, s'agissant du sable, et quand bien même il s'agirait là d'une matière naturelle, qui n'était toutefois plus la terre cultivable qu'il avait remplacée, avaient un impact sur l'environnement au même titre qu'une place d'atterrissage sommaire pour planeur, quand bien même la surface globale serait moindre. 7) a. Selon l'art. 16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(al. 1). Il importe, dans la mesure du possible, de délimiter des surfaces continues d'une certaine étendue (al. 2). b. Selon l'art. 16a al. 1 LAT, sont conformes à l'affectation de la zone agricole les constructions et installations qui sont nécessaires à l'exploitation agricole ou à l'horticulture productrice. Cette notion de conformité peut être restreinte en vertu de l'art. 16 al. 3 LAT. c.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 art. 20 al. 1 LaLAT). d. Dans un arrêt du 25 avril 2007, le Tribunal fédéral a tenu compte de l'impact d'un jardin potager de 750 m 2 sur le paysage et sur l'utilisation agricole du fond retenant qu'il n'était pas négligeable. Pour cette raison déjà, cet aménagement devait être soumis à une autorisation de construire. Enfin,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( 1A.276/2006 du 25 avril 2007). 8) Selon l'art. 33 al. 2 de la loi fédérale sur la protection de l'environnement du 7 octobre 1983 (LPE - RS 814.01), il n'est permis de porter atteinte physiquement à un sol que dans la mesure où sa fertilité n'en est pas altérée durablement. L'ordonnance sur les atteintes portées aux sols du 1 er juillet 1998 (OSol – RS 814.12) régit notamment, afin de garantir à long terme la fertilité du sol, l'observation, la surveillance et l'évaluation des atteintes chimiques, biologiques et physiques portées aux sols ainsi que les mesures destinées à prévenir les compactions persistantes et l'érosion (art. 1 let. a et b). On entend par atteintes physiques aux sols les atteintes à la structure, à la succession des couches pédologiques ou à l'épaisseur des sols résultant d'interventions humaines (art. 2 al. 4 OSol). Quiconque construit une installation, exploite un sol ou l'occupe d'une autre manière doit, en tenant compte des caractéristiques physiques du sol et de son état d'humidité, choisir et utiliser des véhicules, des machines et des outils de manière à prévenir les compactions et les autres modifications de la structure des sols qui pourraient menacer leur fertilité à long terme (6 al. 1 OSol). 9) En l'espèce, le recourant ne conteste pas avoir modifié le sol alentour du hangar, mais soutient que cela ne nécessitait pas d'autorisation, dans la mesure où le périmètre concerné aurait été compris dans l'autorisation délivrée suite à la demande concernant la construction dudit hangar agricole, avec salle de dégustation, en avril 2010, voire des autorisations complémentaire délivrées les 26 novembre 2013 et 7 juin 2016, après que le département avait constaté diverses informalités (DD 2______). Un courrier de son architecte au département du 31 janvier 2020 démontre déjà le contraire, puisqu'il y est noté que « la zone décapée/remblayée a été réalisée indépendamment à (sic) l'exécution du hangar et de ces aménagements extérieurs directs autorisés ». Cette information a ensuite été confirmée le 7 juillet 2020 par le courrier de son architecte au département où il est indiqué expressément que son mandant, soit le recourant, se tenait à disposition pour expliquer sur site les raisons du remblayage en pente douce « au-delà du pourtour du hangar ». Le recourant a de plus expliqué dans son recours au TAPI du 1 er mars 2021 que la construction du hangar n'avait réduit la surface cultivable que sur environ 7 m de large en raison des talus sur son pourtour au nord-est et au nord-ouest. Le 12 décembre 2016, le recourant a expliqué au département que la zone de remblayage concernait certes tout le périmètre en lien avec la DD 2______, mais qu'il s'était permis de « venir faire mourir » le talus jusqu'au chemin sous son hangar, dépassant ainsi d'environ 40 m la zone comprise dans l'autorisation, afin d'obtenir une pente douce permettant prétendument de replanter et de cultiver la vigne sur un maximum de surface. C'est dire qu'il admet être allé bien au-delà de ce qui était nécessité et compris dans l'aménagement du hangar et du talus. Ce premier argument tombe ainsi à faux. S'agissant de qualifier ces aménagements de constructions ou installations au sens de l'art. 22 al. 1 LAT, le premier critère issu de la jurisprudence, à savoir une création de la main de l'homme et excluant toute modification naturelle du terrain ne saurait être disputé en l'espèce. Le recourant ne soutient ensuite à juste titre pas que le remblayage en cause n'aurait pas un caractère durable, dans la mesure où les travaux litigieux ont été constatés le 2 décembre 2016 et figurent clairement sur les photos alors prises par le département et qu'il a pour projet de vouer la surface litigieuse tantôt à la viticulture, tantôt à la culture biologique, selon ses déclarations fluctuantes sur ce point. Le second critère jurisprudentiel est en conséquence également réalisé en l'espèce. Enfin, le critère de l'incidence sur l'affectation du sol est aussi réalisé, contrairement à ce que le recourant soutient. En effet, premièrement, quant au but du remblayage, le recourant fait grand cas de ce que le TAPI aurait à tort retenu qu'il devait notamment permettre un accès aisé aux tracteurs, pour se déplacer aux alentours du hangar, alors même que c'est une indication que son architecte a donnée le 7 juillet 2020 dans une lettre au département, avec la précision en outre qu'il s'agissait de pouvoir accéder correctement aux surfaces plantées de vignobles. Dans ce même courrier, le recourant admettait qu'il n'entendait pas vouer l'intégralité de la surface remblayée à la culture de la vigne, puisqu'il y précisait avoir déposé, le 30 avril 2020, une confirmation d'intention de participation au projet ressource « agro4esterie » devant prendre place précisément autour du hangar, où le remblaiement litigieux a été effectué. Et de rajouter que sans ce remblaiement, le projet en cause n'aurait pas pu être déposé. Il ressort d'ailleurs de la requête en vue de sa participation au projet « agro4esterie », qu'il entendait revenir à une agriculture multi culturale, en circuit fermé, se passant au maximum de l'agro-chimie et ne plus être spécialisé dans la viticulture. Le but était de demander l'arrachage définitif de 1.5 ha de vignes pour les transformer en agroforesterie fruitière, petits arbres, maraîchage et une cour pour des poules pondeuses. Dans ce même courrier, son architecte a indiqué que le remodelage topographique litigieux était donc bel et bien nécessaire à l'exploitation agricole et à sa pérennité, à savoir principalement de pouvoir cultiver les plantes à venir, précisant qu'il s'agissait d'une simple pente douce au-delà du pourtour du hangar, ne cumulant presque jamais 2 m de hauteur, et non d'une modification importante du terrain existant. La fertilité du sol n'était donc en rien atteinte, le propriétaire souhaitant simplement mettre à profit ses terrains pour de la culture biologique. Il découle de ces éléments que la surface en cause n'est plus vouée à la culture de la vigne depuis au plus tard le 5 décembre 2016 et est, à teneur des photos produites par le recourant et datant du mois de mars 2021, recouverte de pâturage. Le recourant ne peut remettre en cause son intention de modification d'affectation de la surface en cause, dont il se prévaut au contraire en faisant valoir qu'il entend passer à la culture biologique et s'affranchir de la culture de la vigne. Si le recourant soutient, pour procéder au remblayage litigieux, avoir utilisé uniquement de la terre cultivable issue de son exploitation, il ne l'a à aucun moment démontré. Les instances spécialisées se sont clairement prononcées sur la problématique de ce remblayage, avant et après les observations du recourant du 7 juillet 2020. L'OCAN a, le 16 avril puis le 16 septembre 2020, retenu que ce remblayage n'était pas conforme à la zone au sens des art. 16a LAT, 34 OAT et 20 LaLAT. L'apport de matériaux terreux ou d'excavation en grande quantité n'était pas justifié et ne permettait pas de corriger un problème agricole initial, puisque la parcelle n'en présentait pas à l'origine. Dans son second préavis, il a relevé que la parcelle était parfaitement accessible par les deux chemins viticoles situés de part et d'autres du périmètre considéré et que la mise en place d'un système agroforestier ne nécessitait pas de revoir la topographie initiale du terrain. Par ailleurs, une zone bétonnée était visible sur les orthophotos, de sorte qu'il n'y avait pas de nécessité d'aplanir le terrain pour circuler. Un apport exclusif de terre végétale de faible épaisseur aurait pu être considéré comme une amendement, ce qui n'était pas le cas ici, les épaisseurs de matériaux terreux se cumulant à certains endroits à près de 2 m de hauteur. Or, comme déjà relevé, le recourant n'a pas même offert de démontrer sur quelle(s) partie(s) de sa parcelle il aurait prélevé les m 3 de terre fertile qu'il indique avoir utilisée à l'exception de tout autre matériau d'excavation. Le fait que cette hauteur ne soit en réalité que de 1.67 m, comme soutenu par le recourant, ne changeait rien à l'appréciation de l'OCAN selon laquelle cette hauteur ne pouvait être considérée comme minime. Le GESDEC a de son côté considéré l'apport de matériaux d'excavation comme un stockage définitif de déchets sans autorisation et portant une atteinte à la structure et aux couches du sol originel. Le SPI a de son côté retenu dans ses deux préavis que le recourant n'avait pas démontré que le remodelage effectué était nécessaire à l'exploitation agricole et à sa pérennité. Enfin, le remblayage litigieux a bien engendré une transformation de la parcelle. Une compaction de son sol, clairement visible sur les photos prises par le département le 5 décembre 2016, a par ailleurs eu une incidence sur la fertilité du sol à long terme, ce qui est le constat du GESDEC du 6 décembre 2016, que rien ne permet de remettre en cause, en particulier le simple fait que « la nature ait repris ses droits » dans la mesure où de la prairie y pousse actuellement. Force est ainsi de conclure, sur la base de ces préavis sans ambiguïté et émanant de trois instances spécialisées, à l'instar du département et du TAPI, que l'ensemble de l'aménagement litigieux est une construction/installation au sens de l'art. 22 al. 1 LAT et nécessitait une autorisation au sens de cette disposition et de l'art. 1 LCI. Le premier grief du recourant est ainsi rejeté. 10) Le recourant conteste la décision ordonnant la suppression du remblayage litigieux, la jugeant disproportionnée, dans la mesure où ce remblayage serait sans impact sur l'environnement et la fertilité de la terre, et d'un coût qu'il ne pourrait pas assumer. a.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b.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 ATA/1411/2017 du 17 octobre 2017 consid. 4a et les références citées). c. Dans son arrêt 1C_469/2019 du 28 avril 2021, destiné à publication, le Tribunal fédéral a précisé qu'à l'inverse de ce qui prévaut pour les zones à bâtir, l'obligation de rétablir un état conforme au droit ne s'éteint pas après 30 ans s'agissant de bâtiments et installations érigés illégalement en dehors de la zone à bâtir.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(consid. 5.5 et 5.6). d. Les critères de l'aptitude et de la subsidiarité sont particulièrement concernés lorsqu'un ordre de démolition pur et simple est envisagé. Ils impliquent en effet de déterminer si une - ou plusieurs - autre mesure administrative pourrait être préférée,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op. cit,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e. En l'espèce, le recourant ne soutient pas que l'installation litigieuse daterait de plus de trente ans, mais tout au plus de plus de cinq ans, et qu'il n'en serait pas le propriétaire et l'utilisateur (le perturbateur). Si le recourant a tenté de soutenir que l'installations litigieuse aurait été autorisée au moment de la construction/du changement d'affectation du hangar, il n'en est rien, comme retenu ci-dessus. Il ne peut remettre en cause la bonne foi de l'autorité qui a d'emblée ordonné la remise en état du terrain. Au contraire et comme le département le relève à juste titre, il l'a mis devant le fait accompli. Ainsi, quatre des conditions nécessaires à la validité d'un ordre de mise en conformité sont réalisées en l'espèce. Ne reste qu'à déterminer si l'intérêt privé du recourant à maintenir le modelage/remblayage litigieux l'emporte sur l'intérêt public. Comme déjà relevé, l'impact du remblayage effectué sur 40 m entre le hangar et le début de la vigne, sur l'environnement et la fertilité du sol ne saurait être remis en question dans la mesure déjà où, tant qu'il prévaut, nulle vigne n'y pousse. Le recourant tente vainement de soutenir l'absence de vigne par l'arrêt du chantier ordonné en décembre 2016. Comme déjà relevé, il apparaît plutôt qu'il n'entend à l'avenir plus vouer cette partie de la parcelle à la viticulture, mais à l'agriculture biologique. Comme déjà relevé, ce remblayage nuit à la fertilité de la terre. Le passage des camions en décembre 2016, ce qui est bien illustré par les photos versées à la procédure, a indéniablement entraîné un compactage du sol, nuisible à sa culture. Dans ces circonstances, l'intérêt de préserver la zone viticole est important, étant rappelé que partie de la parcelle se trouve en zone viticole protégée. Pour autant que la question du coût de la remise en état entre dans la pesée des intérêts, il est effectivement, comme soutenu par le département, difficile d'accorder du crédit aux dires du recourant, certes devis à l'appui produit pour la première fois au stade du recours devant la chambre de céans, qui chiffre les travaux à plus de CHF 370'000.-, alors même qu'il ne démontre pas quel montant aurait été nécessaire pour procéder au remblayage litigieux. Le devis produit interpelle par ailleurs s'agissant de devoir évacuer « en décharge type B 1000 m³ de terre de vigne », alors même que ladite terre est censée provenir de la parcelle du recourant. La question demeure de savoir en quel endroit de sa parcelle le recourant aurait prélevé cette terre en décembre 2016, ce qu'il échoue, comme déjà dit, à démontrer. Par ailleurs, comme également soutenu à juste titre par le département, le recourant l'a mis devant le fait accompli. C'est ainsi à juste titre et sans abuser de son pouvoir d'appréciation ni violer le principe de proportionnalité que le département a ordonné la remise en état des lieux et que le TAPI a confirmé cette décision. 11) a. Le recourant soutient que l'amende de CHF 5'000.- qui lui a été infligée par l'autorité intimée le 27 janvier 2021 violerait le principe ne bis in idem . b. Aux termes de l'art. 137 LCI, est passible d'une amende administrative de CHF 100.- à CHF 150'000.- tout contrevenant à la LCI (let. a), aux règlements et aux arrêtés édictés en vertu de ladite loi (let. b), ainsi qu'aux ordres donnés par le département dans les limites desdits loi, règlements et arrêtés (let. c ;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les références citées). d.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e.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ATA/440/2019 précité et les références citées). f.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ATA/220/2019 du 5 mars 2019 consid. 3e). g. Le principe ne bis in idem appartient, selon la jurisprudence constante, au droit pénal fédéral. Il découle implicitement de la Cst. (art. 8 al. 1 Cst. ; Gérard PIQUEREZ/Alain MACALUSO, Procédure pénale suisse, 3ème éd., 2011, n. 581 ss ; Michel HOTTELIER, in André KUHN/Yvan JEANNERET [éd.], Code de procédure pénale suisse - Commentaire romand, 2011, ad art. 11 n. 1). Il est ancré à l'art. 4 al. 1 du Protocole n° 7 à la Convention de sauvegarde des droits de l'homme et des libertés fondamentales du 4 novembre 1950 (CEDH – RS 0.101 ; RS 0.101.07) et à l'art. 14 al. 7 du Pacte international du 16 décembre 1966 relatif aux droits civils et politiques (RS 0.103.2). Il figure également à l'art. 11 al. 1 du Code de procédure pénale suisse du 5 octobre 2007 (CPP - RS 312.0). Ce principe, qui est un corollaire de l'autorité de chose jugée, interdit qu'une personne soit pénalement poursuivie deux fois pour les mêmes faits. L'autorité de chose jugée et le principe ne bis in idem supposent qu'il y ait identité de l'objet de la procédure, de la personne visée et des faits retenus (ATF 123 II 464 consid. 2b ; 120 IV 10 consid. 2b ; 118 IV 269 consid. 2). h. En l'espèce, tant le département que le TAPI doivent être suivis lorsqu'ils retiennent que l'amende du 21 novembre 2019 sanctionnait le fait de ne pas avoir déposé de demande d'autorisation pour le remodelage/remblayage litigieux, alors que celle du 27 janvier 2021 sanctionne, après instruction de cette demande, l'infraction constatée, à savoir les travaux de remblayage effectués sans autorisation. Cette amende de CHF 5'000.- est ainsi non seulement justifiée, mais également ne viole pas le principe ne bis in idem , de sorte que ce grief du recourant sera également rejeté. C'est à juste titre que ce dernier n'en conteste pas spécifiquement le montant, qui se situe en bas de la fourchette, et tient compte de la gravité de sa faute, des précédentes amendes dont il a été l'objet et de son comportement récalcitrant. Par son comportement, qui s'inscrit dans la durée, le recourant montre le peu de cas qu'il fait de la LCI et de la LAT notamment et des injonctions que le département est fondé à lui faire sur la base de ces normes. En conséquence, l'amende sera confirmée tant dans son principe que dans son montant. Il en sera de même de la taxe de CHF 345.- que le recourant ne remet à juste titre pas en cause, tant quant à son principe qu'à son montant, au-delà des arguments présentés contre le refus d'autorisation de construire et l'amende infligée auxquels elle est intimement liée. Il n'y a donc pas matière à suspendre son sort vu la teneur du présent arrêt. Le recours sera rejeté. 12) Vu l'issue du litige, un émolument de CHF 1'500.-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