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A/786/2025 vom 27. November 2025</w:t>
      </w:r>
    </w:p>
    <w:p>
      <w:r>
        <w:t>GE Cour de justice, 2025-11-27, FR</w:t>
      </w:r>
    </w:p>
    <w:p>
      <w:r>
        <w:rPr>
          <w:b/>
        </w:rPr>
        <w:t xml:space="preserve">Quelle: </w:t>
      </w:r>
      <w:r>
        <w:t>https://mcp.opencaselaw.ch/entscheid/ge_gerichte_A_786_2025</w:t>
      </w:r>
    </w:p>
    <w:p>
      <w:r>
        <w:t>FR: GE_GERICHTE A/786/2025 du 27 novembre 2025</w:t>
      </w:r>
    </w:p>
    <w:p>
      <w:r>
        <w:t>IT: GE_GERICHTE A/786/2025 del 27 novembre 2025</w:t>
      </w:r>
    </w:p>
    <w:p>
      <w:pPr>
        <w:pStyle w:val="Heading2"/>
      </w:pPr>
      <w:r>
        <w:t>Erwägungen</w:t>
      </w:r>
    </w:p>
    <w:p>
      <w:r>
        <w:rPr>
          <w:b/>
        </w:rPr>
        <w:t>E. 1</w:t>
      </w:r>
    </w:p>
    <w:p>
      <w:r>
        <w:t>Alimentation 39% 29% 0% 0.0%</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Le délai de recours est de 30 jours (art. 56 LPGA ; art. 62 al. 1 de la loi sur la procédure administrative du 12 septembre 1985 [LPA - E 5 10]). Interjeté dans la forme et le délai prévus par la loi, le recours est recevable. 2.</w:t>
      </w:r>
    </w:p>
    <w:p>
      <w:r>
        <w:rPr>
          <w:b/>
        </w:rPr>
        <w:t>E. 2</w:t>
      </w:r>
    </w:p>
    <w:p>
      <w:r>
        <w:t>Entretien du logement ou de la maison 23% 28% 0% 0.0%</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2.2</w:t>
      </w:r>
    </w:p>
    <w:p>
      <w:r>
        <w:t>En l’occurrence, un éventuel droit à une rente d’invalidité naîtrait au plus tôt en septembre 2024, soit six mois après le dépôt de la demande du 27 mars 2024 ( cf . art. 29 al. 1 LAI), de sorte que les dispositions légales applicables seront citées dans leur nouvelle teneur. 3. Le litige porte donc sur le bien-fondé de la décision par laquelle l’intimé a nié à la recourante le droit à toute prestation. 4.</w:t>
      </w:r>
    </w:p>
    <w:p>
      <w:r>
        <w:rPr>
          <w:b/>
        </w:rPr>
        <w:t>E. 3</w:t>
      </w:r>
    </w:p>
    <w:p>
      <w:r>
        <w:t>Achats et courses diverses, tâches administratives 10% 30% 8% 0.7%</w:t>
      </w:r>
    </w:p>
    <w:p>
      <w:r>
        <w:rPr>
          <w:b/>
        </w:rPr>
        <w:t>E. 4</w:t>
      </w:r>
    </w:p>
    <w:p>
      <w:r>
        <w:t>Lessive et entretien des vêtements 18% 5% 0% 0.0%</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5.</w:t>
      </w:r>
    </w:p>
    <w:p>
      <w:r>
        <w:rPr>
          <w:b/>
        </w:rPr>
        <w:t>E. 5</w:t>
      </w:r>
    </w:p>
    <w:p>
      <w:r>
        <w:t>Soins et assistance aux enfants et aux proches 0% 0% 0% 0.0%</w:t>
      </w:r>
    </w:p>
    <w:p>
      <w:r>
        <w:rPr>
          <w:b/>
        </w:rPr>
        <w:t>E. 5.1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5.2.2</w:t>
      </w:r>
    </w:p>
    <w:p>
      <w:r>
        <w:t>Selon l’art. 28a al. 2 LAI, dans sa teneur en vigueur dès le 1 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27 bis al. 3 RAI, le taux d’invalidité en lien avec les travaux habituels est calculé :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w:t>
      </w:r>
    </w:p>
    <w:p>
      <w:r>
        <w:rPr>
          <w:b/>
        </w:rPr>
        <w:t>E. 5.2.3</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in VSI 2003 p. 221 ; arrêts du Tribunal fédéral 9C_625/2017 du 26 mars 2018 consid. 6.2 ; I.733/06 du 16 juillet 2007).</w:t>
      </w:r>
    </w:p>
    <w:p>
      <w:r>
        <w:rPr>
          <w:b/>
        </w:rPr>
        <w:t>E. 5.2.4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Tribunal fédéral a confirmé qu'il n'y a pas de motif de revenir sur le principe de l'obligation de diminuer le dommage tel que dégagé par la jurisprudence (arrêt du Tribunal fédéral 9C_248/2022 du 25 avril 2023 consid. 5.3 et les références).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I.308/04 du 14 janvier 2005 consid. 6.2.1).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w:t>
      </w:r>
    </w:p>
    <w:p>
      <w:r>
        <w:t>Soin du jardin et de l’extérieur de la maison et garde des animaux domestiques 10% 75% 0% 0.0% Invalidité dans l’accomplissement des tâches ménagères, pour un 100% : -   après la mise en œuvre de mesures d’adaptation raisonnablement exigibles pour améliorer la capacité de travail (méthode de travail adéquate, acquisition d’équipements et d’appareils ménagers appropriés) (ch. 3613 CIRAI) -   après déduction de l’aide exigible des membres de la famille et des personnes vivant en ménage commun (ch. 3614 CIRAI) 0.7% Les éléments rapportés durant l’évaluation quant à la constitution de la famille permettant de se référer à la statistique fédérale sur « le travail domestique familial ». Ainsi, dans cette situation, le total d’heures nécessaires à la tenue du ménage par semaine est de : 28.18 h Empêchements avant obligation de réduire le dommage 08.08 h 28.8% Obligation de réduire le dommage exigible des membres de la famille 07.56 h 28.0% Empêchements après obligation de réduire le dommage 00.12 h 0.7% j. Le 6 décembre 2024, l’OAI a adressé à l’assurée un projet de décision, dont il ressortait qu’il se proposait de lui nier le droit à toute prestation. k. Le 27 janvier 2025, l’assurée a contesté ce projet en faisant valoir en substance que les conséquences de sa maladie métabolique avaient été sous-estimées. l. Par décision du 3 février 2025, l’OAI a rejeté la demande de prestations. L’OAI a reconnu à l’assurée le statut de personne non active consacrant tout son temps à ses travaux habituels. Il a admis l’existence d’une atteinte à la santé invalidante à compter du 22 avril 2024, fin du délai d’attente d’une année, mais considéré, sur la base de l’enquête ménagère effectuée au domicile de l’intéressée, que les empêchements après obligation de réduire le dommage, dans la sphère ménagère, ne s’élevaient qu’à 0,7%, soit un taux insuffisant pour ouvrir droit à des prestations. D. a. Par écriture du 6 mars 2025, l’office de protection de l’adulte (ci-après : OPAd) – plus précisément les co-curatrices désignées par le TPAE par décision du 15 août 2023 – ont interjeté recours au nom de l’assurée. La recourante invoque l’avis du Dr E______, les limitations fonctionnelles physiques énoncées par ce dernier, ainsi que les troubles psychiques attestés par sa psychiatre. En substance, elle reproche à l’enquête ménagère d’avoir fondé l’incapacité de travail uniquement sur les troubles psychiques. Elle en veut pour preuve le fait que, dans ladite enquête, l’atteinte psychique est mentionnée à titre d’atteinte principale et l’obésité morbide qualifiée d’« autre atteinte ». Elle souligne qu’elle souffre d’obésité depuis plusieurs années et que cette pathologie a progressivement altéré son état de santé physique, au point qu’elle se trouve désormais dans l’incapacité de se déplacer sans déambulateur et peine à rester debout. C’est donc avant tout cette atteinte physique qui la handicape au quotidien. Selon elle, il conviendrait de mettre sur pied une expertise médicale. b. Invité à se déterminer, l’intimé, dans sa réponse du 3 avril 2025, a conclu au rejet du recours. L’intimé rappelle que la jurisprudence en matière d’obésité a évolué depuis 2024 en ce sens que le fait qu’un traitement de l’obésité soit en principe possible ne s’oppose pas en soi à la reconnaissance d’un droit à la rente. Il convient d’examiner concrètement dans chaque cas d’espèce les conséquences et la mesure de la maladie sur la capacité de travail de la personne concernée. En l’occurrence, un statut de ménagère à 100% a été reconnu à la recourante. Dans un tel cas, le degré d’invalidité se détermine, en règle générale, au moyen d’une enquête économique. Dans le cas présent, l’enquête effectuée au domicile de la recourante a évalué ses empêchements. Ont été consignées de manière très complète les informations données sur place par l’assurée, soit par ses déclarations, soit par son comportement et ce, en présence de son mari. Les handicaps et empêchements résultant des diagnostics médicaux n’ont pas été négligés. L’enquêtrice a du reste énuméré les diagnostics retenus après avoir pris connaissance de l’ensemble des pièces médicales figurant au dossier. L’intimé soutient que les considérations du médecin traitant ne sont pas en contradiction avec les observations faites lors de l’enquête à domicile. Quant au psychiatre traitant, il a confirmé que sa patiente était autonome dans ses activités quotidiennes, qu’elle vivait en famille, cuisinait pour ses proches, faisait des sorties occasionnelles avec des amis et s’occupait de sa fille et de son appartement. Par ailleurs, le taux d’aide exigible retenu pour le mari et la fille de l’assurée, évalué à 28%, apparaît non seulement conforme à la jurisprudence, mais également vraisemblable, compte tenu de l’aide effective apportée par ces personnes. L’enquête économique sur le ménage doit se voir donc reconnaître pleine valeur probante. c. Par écriture du 5 mai 2025, la recourante a persisté dans ses conclusions en sollicitant l’audition de son médecin traitant, lequel a été entendu en date du 13 novembre 2025. Celui-ci a rappelé les diagnostics retenus : obésité (BMI à 41, ce qui induit des difficultés à la marche et des troubles articulaires), diabète sous insuline, hypertension artérielle et tachycardie ; s’y ajoutent des troubles psychiques (antécédent de burn-out, trouble dépressif et anxiété). Le témoin a expliqué que l’assurée était principalement handicapée dans ses déplacements. Elle dispose d’ailleurs de plusieurs moyens auxiliaires (cannes, déambulateur, scooter électrique). Interrogé quant aux tâches ménagères que sa patiente peut effectuer seule, le médecin a émis l’avis qu’il s’agit de celles qui n’impliquent pas l’utilisation des moyens auxiliaires évoqués. Le témoin a confirmé que les limitations fonctionnelles énumérées dans le rapport d’enquête ménagère correspondaient à la situation de sa patiente. Il a été donné lecture au témoin des différentes rubriques de l’enquête ménagère, dont il a estimé qu’elles correspondaient à l’état de la recourante et à ses limitations. Le médecin a indiqué qu’il était possible que l’assurée, lorsqu’elle se trouve dans un état anxieux important, ne soit pas en état de réaliser ses tâches quotidiennes. Il lui arrive ainsi d’avoir des sortes de phobies concernant ses soins dentaires et d’avoir dû se faire accompagner chez le dentiste. Son état psychique nécessite un suivi hebdomadaire et un traitement médicamenteux. Pour le médecin traitant, tant les facteurs psychiques que physiques participent aux difficultés de la recourante. Il est difficile d’indiquer lesquels viennent au premier plan. À cet égard, l’intimé a fait remarquer que les atteintes à la santé énumérées dans le rapport d’enquête ménagère n’avaient pas été réellement hiérarchisées. En effet, toutes figurent au nombre des atteintes incapacitantes. Il a rappelé par ailleurs que, selon le psychiatre traitant, l’assurée est autonome dans ses activités, ce que la recourante a confirmé, expliquant qu’elle aime en particulier beaucoup recevoir et cuisiner, mais qu’elle doit le faire assise, puisqu’il lui est impossible de rester debout plus de 10 minutes, en raison de douleurs au dos et à la jambe. La recourante a encore précisé que c’est son mari qui doit sortir le chien, car elle n’est pas suffisamment sûre sur ses jambes pour s’en charger. Elle a ajouté qu’elle est allergique aux produits ménagers et désinfectants, raison pour laquelle c’est son mari qui doit également se charger du nettoyage de la salle de bain et des toilettes, qui implique le maniement d’ammoniac ou d’eau de Javel. Elle a par ailleurs allégué qu’elle souffre d’une véritable phobie du dentiste et qu’elle a peur du vide. Le représentant de la recourante a émis l’avis que l’aide exigible de la part du mari de l’intéressée avait sans doute été surestimée, car il souffre lui-même de problèmes de santé – au point d’avoir été rentier de l’assurance-invalidité –, ce à quoi l’intimé a rétorqué qu’il en avait été tenu compte dans le rapport d’enquête et que l’époux était d’ailleurs présent au moment de la réalisation de celle-ci. À l’issue de cette audience, les parties ayant persisté dans leurs conclusions respectives, la cause a été gardée à juger. d. Les autres faits seront repris, en tant que de besoin, dans la partie « en droit » du présent arrêt. EN DROIT 1.</w:t>
      </w:r>
    </w:p>
    <w:p>
      <w:r>
        <w:rPr>
          <w:b/>
        </w:rPr>
        <w:t>E. 6.1</w:t>
      </w:r>
    </w:p>
    <w:p>
      <w:r>
        <w:t>En l’espèce, l’intimé a reconnu à la recourante un statut de personne non active. La Cour de céans relève, à titre liminaire, que la recourante n’a jamais remis en cause, ni dans son opposition au projet de décision, ni dans son recours, ni au long de la procédure, le statut de non active. À juste titre, car, ainsi que cela ressort des pièces versées au dossier, si la recourante a certes allégué, lors de l’enquête ménagère, qu’elle aurait travaillé si son état de santé le lui avait permis, force est de constater qu’elle a cessé de travailler en 2002 déjà, à la naissance de son enfant et qu’elle n’a jamais entrepris aucune démarche pour retrouver un emploi depuis lors, alors même que toute invalidité avait été niée par l’OAI. Qui plus est, expressément questionnée à ce sujet en mai 2024, la recourante a répondu par la négative à la question de savoir si elle avait envisagé d’augmenter son taux d’occupation. C’est donc à juste titre que l’intimé lui a reconnu le statut de non active. Il convient à présent d’examiner la valeur probante du rapport d’enquête ménagère et de confronter celui-ci aux autres éléments figurant au dossier, puisque la recourante en conteste les conclusions en lui reprochant, en substance, d’avoir sous-estimé ses limitations physiques et celles de son époux.</w:t>
      </w:r>
    </w:p>
    <w:p>
      <w:r>
        <w:rPr>
          <w:b/>
        </w:rPr>
        <w:t>E. 6.2</w:t>
      </w:r>
    </w:p>
    <w:p>
      <w:r>
        <w:t>Concernant les empêchements dans les travaux ménagers, la Cour de céans relève que l’enquête ménagère du 12 novembre 2024 a été réalisée au domicile de la recourante par une personne qualifiée qui a fait état des déclarations de l’intéressée quant à sa situation et à son organisation familiale, tout en prenant en considération les conditions de logement. L’enquêtrice a en particulier noté que la recourante vit avec son époux et leur fille majeure, en recherche d’emploi. La santé du mari de la recourante a fait l’objet d’une rubrique dans laquelle ont été énumérées toutes les atteintes à sa santé et la recourante ne prétend pas qu’il y en aurait d’autres que celles évoquées. Les atteintes et limitations énoncées par le médecin traitant (difficultés à la marche, nécessité d’utiliser un déambulateur pour les longs trajets) ont été dûment rapportées et prises en compte par l’enquêtrice. Certes, l’obésité a été mentionnée formellement comme « autre atteinte ». Il n’en demeure pas moins qu’elle figure au nombre des atteintes retenues comme invalidantes par l’enquêtrice et que toutes les limitations fonctionnelles découlant de l’atteinte physique ont été retenues par elle. Il est donc erroné de prétendre que l’enquête ménagère se serait fondée uniquement sur les troubles psychiques de la recourante. Bien au contraire, il ressort des descriptions détaillées concernant chaque activité que ce sont les limitations physiques qui ont été mises en avant. À cet égard, on relève, à l’instar de l’intimé, que nombre de détails mentionnés dans le rapport ne peuvent provenir que des déclarations des personnes présentes, dès lors qu’ils ne se retrouvent nulle part ailleurs dans le dossier. Ainsi, il a été notamment relevé que : -       concernant les repas, l’assurée a indiqué pouvoir éplucher et couper des légumes, mais avoir de la peine à porter les plats lourds ; elle s’est dit surtout très limitée pour rester debout, et devoir fractionner le temps de préparation ; elle cuisine et se rassied, puis se relève ; son mari est à ses côtés pour l’aider ; -       s’agissant des travaux légers, l’assurée a admis ne pas avoir d’empêchements ; -       s’agissant des travaux lourds, l’assurée a indiqué être limitée pour certaines tâches, surtout celles demandant d’être debout ; elle a mentionné devoir fractionner les tâches et répartir le travail dans la semaine ; -       s’agissant des courses, l’assurée a indiqué ne plus pouvoir faire ses emplettes sans être accompagnée et devoir prendre son déambulateur ; elle a expliqué choisir ses achats, puis les faire livrer jusqu’à son appartement ; elle est limitée pour porter les achats, raison pour laquelle le couple a choisi de se faire livrer les courses à la maison ; leur fille, qui réside avec eux, pourrait transporter les achats ; son aide est exigible ; -       dans le logement, l’assurée n’a pas besoin de moyens auxiliaires pour se déplacer ; -       à l’extérieur, elle utilise une canne ou un déambulateur ; elle est toujours accompagnée de son mari ou de ses amis pour sortir ; elle n’est pas mobile à l’extérieur sans une aide. Loin de contredire ces allégations, le médecin traitant, entendu à titre de témoin, a confirmé qu’elles correspondaient à la situation de sa patiente. Il n’y a dès lors aucune divergence entre les rapports médicaux et l’enquête, ni sur le plan somatique, ni sur le plan psychiatrique, la psychiatre ayant confirmé l’autonomie et les ressources de sa patiente au quotidien. Quant au taux d’exigibilité retenu par rapport à l’aide apportée par le mari et la fille de l’assurée, les 28% retenus – correspondant à moins de 8h./sem. à répartir sur deux personnes – apparaissent non seulement conformes à la jurisprudence, mais correspondent également au degré de vraisemblance prépondérante à l’aide effective apportée par le mari et la fille de l’intéressée. On rappellera à cet égard qu’en application de la jurisprudence fédérale et du principe général selon lequel l’assuré qui demande des prestations doit d’abord entreprendre tout ce que l’on peut raisonnablement attendre de lui pour atténuer les conséquences de son invalidité, la recourante a, entre autres, l’obligation de solliciter l’aide des membres de la famille dans une mesure convenable ( cf. ATF 133 V 504 consid. 4.2). Ce qui est déterminant, c'est le point de savoir comment se comporterait une cellule familiale raisonnable, soumise à la même réalité sociale, si elle ne pouvait pas s'attendre à recevoir des prestations d'assurance. Aussi, dans le cadre de son obligation de réduire le dommage (art. 7 al. 1 LAI), la recourante doit se laisser opposer le fait que son conjoint (en vertu de l’art. 159 al. 2 et 3 CC) et sa fille (en vertu de l’art. 272 CC) sont censés remplir les devoirs qui leur incombent en vertu du droit de la famille ( cf. arrêt du Tribunal fédéral 9C_248/2022 , op. cit. , consid. 5.3.2 et les références). L’enquête économique sur le ménage doit donc se voir reconnaître pleine valeur probante, de sorte qu’il n’y a pas lieu de s’en écarter, pas plus qu’il n’y a lieu de mettre sur pied une expertise médicale, les atteintes à la santé et leurs conséquences en termes de limitations fonctionnelles étant clairement établies et ne donnant lieu à aucune contestation. Par conséquent, il convient de suivre les conclusions du rapport d’enquête ménagère, lequel retient un degré d’invalidité de 0.7% insuffisant pour ouvrir droit à des prestations.</w:t>
      </w:r>
    </w:p>
    <w:p>
      <w:r>
        <w:rPr>
          <w:b/>
        </w:rPr>
        <w:t>E. 7</w:t>
      </w:r>
    </w:p>
    <w:p>
      <w:r>
        <w:t>Compte tenu de ce qui précède, le recours est rejeté. La recourante, qui succombe, n’a pas droit à des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