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A/785/2025 vom 22. April 2025</w:t>
      </w:r>
    </w:p>
    <w:p>
      <w:r>
        <w:t>GE Cour de justice, 2025-04-22, FR</w:t>
      </w:r>
    </w:p>
    <w:p>
      <w:r>
        <w:rPr>
          <w:b/>
        </w:rPr>
        <w:t xml:space="preserve">Quelle: </w:t>
      </w:r>
      <w:r>
        <w:t>https://mcp.opencaselaw.ch/entscheid/ge_gerichte_A_785_2025</w:t>
      </w:r>
    </w:p>
    <w:p>
      <w:r>
        <w:t>FR: GE_GERICHTE A/785/2025 du 22 avril 2025</w:t>
      </w:r>
    </w:p>
    <w:p>
      <w:r>
        <w:t>IT: GE_GERICHTE A/785/2025 del 22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Selon l’art. 1A al. 2 LPCC, les PCFam sont régies par les dispositions figurant aux titres IIA et III de la LPCC (let. a), par les dispositions de la loi fédérale sur les prestations complémentaires à l’AVS et à l’AI du 6 octobre 2006 (LPC - RS 831.30) auxquelles la LPCC renvoie expressément et les dispositions d'exécution de la LPC désignées par règlement du Conseil d'État (let. b) ainsi que par la loi fédérale sur la partie générale du droit des assurances sociales, du 6 octobre 2000 (LPGA - RS 830) et ses dispositions d’exécution (let. c), applicables à titre de droit cantonal supplétif (ATF 138 I 232 consid. 2.4 ; arrêt du Tribunal fédéral 9C_670/2015 du 7 janvier 2016 consid. 3.1). Quant à l’art. 2 du règlement relatif aux prestations complémentaires familiales, du 27 juin 2012 (RPCFam - J 4 25.04), il décrit notamment, à son alinéa 1, conformément au renvoi de l’art. 1A al. 2 let b LPCC, les domaines dans lesquels les dispositions d’exécution de la LPC s’appliquent, étant précisé que le dessaisissement en fait partie. L’art. 2 RPCFam prévoit en outre, à son alinéa 3, que dans les limites des renvois prévus par la loi, les directives concernant les prestations complémentaires à l'AVS et à l'AI de l'Office fédéral des assurances sociales (DPC) sont applicables par analogie.</w:t>
      </w:r>
    </w:p>
    <w:p>
      <w:r>
        <w:rPr>
          <w:b/>
        </w:rPr>
        <w:t>E. 1.3</w:t>
      </w:r>
    </w:p>
    <w:p>
      <w:r>
        <w:t>Interjeté dans les forme et délai légaux, le recours est recevable (art. 43 LPCC et 89B de la loi sur la procédure administrative du 12 septembre 1985 ; LPA – E 5 10).</w:t>
      </w:r>
    </w:p>
    <w:p>
      <w:r>
        <w:rPr>
          <w:b/>
        </w:rPr>
        <w:t>E. 2</w:t>
      </w:r>
    </w:p>
    <w:p>
      <w:r>
        <w:t>Le litige porte sur la prise en considération de pensions alimentaires potentielles dans le calcul des prestations complémentaires familiales de la recourante dès le 1 er octobre 2024.</w:t>
      </w:r>
    </w:p>
    <w:p>
      <w:r>
        <w:rPr>
          <w:b/>
        </w:rPr>
        <w:t>E. 3.1</w:t>
      </w:r>
    </w:p>
    <w:p>
      <w:r>
        <w:t>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w:t>
      </w:r>
    </w:p>
    <w:p>
      <w:r>
        <w:rPr>
          <w:b/>
        </w:rPr>
        <w:t>E. 3.2</w:t>
      </w:r>
    </w:p>
    <w:p>
      <w:r>
        <w:t>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(art. 1 al. 2 et 36A à 36I LPCC ; ATAS/994/2014 du 9 septembre 2014 ; ATAS/955/2014 du 25 août 2014).</w:t>
      </w:r>
    </w:p>
    <w:p>
      <w:r>
        <w:rPr>
          <w:b/>
        </w:rPr>
        <w:t>E. 4.1</w:t>
      </w:r>
    </w:p>
    <w:p>
      <w:r>
        <w:t>L'art. 1 al. 2 LPCC prévoit que les familles avec enfant(s) ont droit à un revenu minimum cantonal d'aide sociale, qui leur est garanti par le versement de prestations complémentaires cantonales pour les familles (ou PCFam). Ont ainsi droit aux prestations complémentaires familiales, selon l'art. 36A al. 1 LPCC dans sa teneur depuis le 1 er août 2020, les personnes qui, cumulativement,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ne font pas l'objet d'une taxation d'office par l'administration fiscale cantonale (let. d) et répondent aux autres conditions prévues par la LPCC (let. e). Selon l’art. 4 al. 1 RPCFam, les prestations se composent de la prestation complémentaire annuelle (let. a) et du remboursement des frais de garde d’enfants et de soutien scolaire (let. b). Le montant annuel des prestations complémentaires familiales correspond à la part des dépenses reconnues au sens de l'art. 36F qui excède le revenu déterminant au sens de l'art. 36E, mais ne doit pas dépasser le montant prévu à l'art. 15 al. 2 (art 36D al. 1 LPCC). Les dépenses reconnues et les revenus déterminants des membres du groupe familial sont additionnés (art 36D al. 2 LPCC).</w:t>
      </w:r>
    </w:p>
    <w:p>
      <w:r>
        <w:rPr>
          <w:b/>
        </w:rPr>
        <w:t>E. 4.2.1</w:t>
      </w:r>
    </w:p>
    <w:p>
      <w:r>
        <w:t>Le revenu déterminant est défini à l’art. 36E LPCC. Selon l’al. 6 de cette disposition,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Les art. 15 à 19 RPCFam apportent des précisions concernant le revenu déterminant. L’art. 19 porte plus particulièrement sur la notion de revenus auxquels il est renoncé. Cette disposition prévoit ainsi à son alinéa 1 que lorsqu’un ayant droit ou un membre du groupe familial renonce à des éléments de fortune ou renonce à faire valoir un droit à un revenu, il est tenu compte d'un revenu hypothétique, conformément à l'art. 11 al. 1 let. g LPC.</w:t>
      </w:r>
    </w:p>
    <w:p>
      <w:r>
        <w:rPr>
          <w:b/>
        </w:rPr>
        <w:t>E. 4.2.2</w:t>
      </w:r>
    </w:p>
    <w:p>
      <w:r>
        <w:t>Le règlement d’application de la loi sur l’avance et le recouvrement des pensions alimentaires du 2 juin 1986 dans sa teneur en vigueur depuis le 1 er janvier 2009 (RARPA - E 1 25.01), auquel y est notamment fait référence à l’art. 36E al. 6 LPCC, prescrit, à son at. 4 al. 1, que le montant de l'avance en faveur d'un enfant correspond à celui de la pension fixée par le jugement ou la convention, mais au maximum à CHF 673.- par mois et par enfant.</w:t>
      </w:r>
    </w:p>
    <w:p>
      <w:r>
        <w:rPr>
          <w:b/>
        </w:rPr>
        <w:t>E. 4.3.1</w:t>
      </w:r>
    </w:p>
    <w:p>
      <w:r>
        <w:t>Dans un arrêt de principe du 9 septembre 2022 ( ATAS/783/2022 ), la chambre de céans a jugé que les interprétations de l’art. 36E LPCC conduisaient à retenir que la question de la renonciation à une contribution d’entretien devait être traitée de manière identique en matière de prestations complémentaires familiales et de prestations complémentaires fédérales, seul le montant éventuellement à prendre en considération à titre de contribution d’entretien potentielle étant différent (forfaitaire en matière de PCFam et calculé en fonction de la capacité contributive du débiteur en matière de PCF), de sorte que le SPC devait impartir au bénéficiaire un délai de trois mois pour saisir l’autorité compétente d’une demande tendant à la fixation, éventuellement avec effet rétroactif, d’une pension alimentaire, avant de pouvoir prendre en considération une contribution d’entretien potentielle.</w:t>
      </w:r>
    </w:p>
    <w:p>
      <w:r>
        <w:rPr>
          <w:b/>
        </w:rPr>
        <w:t>E. 4.3.2</w:t>
      </w:r>
    </w:p>
    <w:p>
      <w:r>
        <w:t>En effet, selon les DPC, si aucune convention d’entretien n’a été conclue ou si le montant de la contribution d’entretien convenue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(n° 3491.07 DPC). Si le bénéficiaire de PC n’obtempère pas dans les trois mois, l’organe PC fixe lui-même le montant de la contribution d’entretien. Il le calcule conformément aux règles des chapitres 3.4.9.2 à 3.4.9.6 des directives, lesquelles prévoient, notamment, que, pour le calcul de la prestation d’entretien, il faut, dans un premier temps, déterminer les besoins de base et le revenu des deux conjoints ; dans un deuxième temps, il faut déduire leurs besoins de base de leur revenu ; l’excédent éventuel est attribué pour moitié aux deux conjoints. Il est également précisé que les besoins de base correspondent en principe au minimum vital au sens du droit des poursuites (n os 3491.08, 3492.02 et 3492.03 DPC).</w:t>
      </w:r>
    </w:p>
    <w:p>
      <w:r>
        <w:rPr>
          <w:b/>
        </w:rPr>
        <w:t>E. 4.3.3</w:t>
      </w:r>
    </w:p>
    <w:p>
      <w:r>
        <w:t>Enfin, dans un arrêt récent ( 8C_563/2024 du 14 février 2025), le Tribunal fédéral a considéré qu’il incombait au SPC d’émettre une communication claire et complète de ce qui était attendu du bénéficiaire pour faire modifier le montant de la pension alimentaire en cours, ce qui n’avait pas été le cas en l’espèce, le SPC n’ayant pas indiqué clairement au bénéficiaire qu’il devait saisir le juge civil d’une demande en modification du jugement de divorce, en vue de diminuer ou de supprimer la contribution d’entretien ratifiée par ce juge.</w:t>
      </w:r>
    </w:p>
    <w:p>
      <w:r>
        <w:rPr>
          <w:b/>
        </w:rPr>
        <w:t>E. 5</w:t>
      </w:r>
    </w:p>
    <w:p>
      <w:r>
        <w:t>En l’occurrence, l’intimé a admis qu’il n’avait pas imparti à la recourante, conformément à la jurisprudence précitée, un délai de trois mois pour entreprendre les démarches en vue d’obtenir des pensions alimentaires pour ses trois enfants, de sorte que le recours devait, pour cette raison, être admis et la décision litigieuse annulée. Une nouvelle décision devra être rendue, sans la prise en compte de pensions alimentaires hypothétiques.</w:t>
      </w:r>
    </w:p>
    <w:p>
      <w:r>
        <w:rPr>
          <w:b/>
        </w:rPr>
        <w:t>E. 6</w:t>
      </w:r>
    </w:p>
    <w:p>
      <w:r>
        <w:t>Il convient en conséquence, d’admettre le recours, d’annuler la décision litigieuse et de renvoyer la cause à l’intimé, pour nouvelle décision, dans le sens des considérants.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