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A/781/2023 vom 24. April 2024</w:t>
      </w:r>
    </w:p>
    <w:p>
      <w:r>
        <w:t>GE Cour de justice, 2024-04-24, FR</w:t>
      </w:r>
    </w:p>
    <w:p>
      <w:r>
        <w:rPr>
          <w:b/>
        </w:rPr>
        <w:t xml:space="preserve">Quelle: </w:t>
      </w:r>
      <w:r>
        <w:t>https://mcp.opencaselaw.ch/entscheid/ge_gerichte_A_781_2023</w:t>
      </w:r>
    </w:p>
    <w:p>
      <w:r>
        <w:t>FR: GE_GERICHTE A/781/2023 du 24 avril 2024</w:t>
      </w:r>
    </w:p>
    <w:p>
      <w:r>
        <w:t>IT: GE_GERICHTE A/781/2023 del 24 aprile 2024</w:t>
      </w:r>
    </w:p>
    <w:p>
      <w:pPr>
        <w:pStyle w:val="Heading2"/>
      </w:pPr>
      <w:r>
        <w:t>Erwägungen</w:t>
      </w:r>
    </w:p>
    <w:p>
      <w:r>
        <w:rPr>
          <w:b/>
        </w:rPr>
        <w:t>E. 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w:t>
      </w:r>
    </w:p>
    <w:p>
      <w:r>
        <w:rPr>
          <w:b/>
        </w:rPr>
        <w:t>E. 4</w:t>
      </w:r>
    </w:p>
    <w:p>
      <w:r>
        <w:t>Le 1 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arrêt du Tribunal fédéral 8C_662/2016 du 23 mai 2017 consid. 2.2). Les dispositions légales seront citées ci-après dans leur teneur en vigueur à compter du 1 er janvier 2017.</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droit du recourant à une rente d’invalidité selon la LAA, seuls demeurant litigieux les revenus avant et après invalidité, et, s’agissant de ce dernier, le taux d’abattement sur le revenu statistique. Le lien de causalité entre l’accident et l’incapacité de travail n’étant pas litigieux, cette question ne sera pas discutée.</w:t>
      </w:r>
    </w:p>
    <w:p>
      <w:r>
        <w:rPr>
          <w:b/>
        </w:rPr>
        <w:t>E. 7.1</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Il faut en principe que l’état de santé de l’assuré puisse être considéré comme stable d’un point de vue médical (arrêt du Tribunal fédéral 8C_591/2022 du 14 juillet 2023 consid. 3.2 et la référence).</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8.4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10</w:t>
      </w:r>
    </w:p>
    <w:p>
      <w:r>
        <w:t>août 2023 consid. 3.2 et la référence).</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10.2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10.3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w:t>
      </w:r>
    </w:p>
    <w:p>
      <w:r>
        <w:rPr>
          <w:b/>
        </w:rPr>
        <w:t>E. 10.4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10.5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arrêt du Tribunal fédéral 8C_801/2021 du 28 juin 2022 consid. 3.6).</w:t>
      </w:r>
    </w:p>
    <w:p>
      <w:r>
        <w:rPr>
          <w:b/>
        </w:rPr>
        <w:t>E. 10.6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11</w:t>
      </w:r>
    </w:p>
    <w:p>
      <w:r>
        <w:t>Le taux d'invalidité doit être arrondi au pourcentage supérieur ou inférieur selon les règles mathématiques reconnues. Cela vaut également dans l'assurance-accidents, même si l'arrondi à l'unité supérieure ou inférieure (hormis la valeur de référence de 10 % [cf. art. 18 al. 1 LAA]) représente une perte ou un gain de quelques francs sur le montant mensuel de la rente (ATF 131 V 121 consid. 3.2. et 3.3 et les références; arrêt du Tribunal fédéral 8C_167/2022 du 18 août 2022 consid. 5.4).</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Au cas d’espèce, il est constant que l’état de santé du recourant doit être considéré comme stabilisé en 2022, année au cours de laquelle la décision entreprise a été rendue. Ce sont dès lors les données valables à ce moment qui sont déterminantes pour le calcul du taux d’invalidité.</w:t>
      </w:r>
    </w:p>
    <w:p>
      <w:r>
        <w:rPr>
          <w:b/>
        </w:rPr>
        <w:t>E. 14.1</w:t>
      </w:r>
    </w:p>
    <w:p>
      <w:r>
        <w:t>Le recourant conteste tout d’abord le revenu sans invalidité retenu par l’intimée. Il estime que celui-ci doit être établi sur la base de la moyenne de ses salaires annuels chez son ancien employeur, ce qui correspondrait à CHF 62'159.-.</w:t>
      </w:r>
    </w:p>
    <w:p>
      <w:r>
        <w:rPr>
          <w:b/>
        </w:rPr>
        <w:t>E. 14.2</w:t>
      </w:r>
    </w:p>
    <w:p>
      <w:r>
        <w:t>L’intimée a établi le revenu qu’aurait réalisé le recourant en se fondant sur les indications communiquées par son ancien employeur relatives à l’année 2020, soit un revenu annuel de CHF 58'890.- qu’elle a ensuite indexé selon le tableau T1.1.20 (Indice des salaires nominaux, hommes, 2020-2021, « transport et entreposage, Poste et courrier »), l’indice pour 2022 ayant été estimé sur les données des trois premiers trimestres de l’année. Le salaire annuel brut déterminant a ainsi été fixé à CHF 59'597.33.</w:t>
      </w:r>
    </w:p>
    <w:p>
      <w:r>
        <w:rPr>
          <w:b/>
        </w:rPr>
        <w:t>E. 14.3</w:t>
      </w:r>
    </w:p>
    <w:p>
      <w:r>
        <w:t>Contrairement à ce que prétend le recourant, il n’y a pas lieu d’effectuer une moyenne de ses salaires annuels tels qu’ils ressortent de son compte individuel. En effet, ses revenus chez son ancien employeur n’ont pas subi d’importantes fluctuations à court terme, au sens de la jurisprudence rappelée ci-dessus (cf. consid. 11.c). Certes, il a perçu un salaire supérieur durant les années 2013 à 2016, sans toutefois que l’on puisse établir pour quel motif, ni qu’on dispose d’une quelconque indication en faveur de la réalisation d’un tel salaire au moment déterminant du calcul du droit à la rente. Au contraire, sollicité par l’intimée, l’employeur a déclaré que le revenu du recourant devait progresser de manière linéaire entre 2020 et 2022, à raison de CHF 100.- supplémentaires par mois, le salaire prévisible pour 2022 étant fixé à CHF 60'222.-. C’est ce montant qu’il convient de retenir, puisqu’il correspond, à un degré de haute vraisemblance, à celui que le recourant aurait perçu sans atteinte à la santé en restant au service du même employeur.</w:t>
      </w:r>
    </w:p>
    <w:p>
      <w:r>
        <w:rPr>
          <w:b/>
        </w:rPr>
        <w:t>E. 15.1</w:t>
      </w:r>
    </w:p>
    <w:p>
      <w:r>
        <w:t>Le recourant ne conteste pas le salaire statistique d’invalide retenu par l’intimée, mais le taux d’abattement appliqué. Se fondant sur l’avis de son chirurgien traitant, il considère qu’en raison des multiples limitations fonctionnelles qu’il convient de lui reconnaître, c’est un abattement de 15% qui se justifie, et non seulement 10%.</w:t>
      </w:r>
    </w:p>
    <w:p>
      <w:r>
        <w:rPr>
          <w:b/>
        </w:rPr>
        <w:t>E. 15.2</w:t>
      </w:r>
    </w:p>
    <w:p>
      <w:r>
        <w:t>Le recourant a fait l’objet d’une évaluation lors d’un séjour de plusieurs semaines au sein de la CRR. À l’issue dudit séjour, les médecins ont fait état de limitations fonctionnelles qu’ils ont qualifiées de provisoires, l’intéressé devant encore faire l’objet de tests plus concrets dans le cadre d’une mesure d’évaluation de ses capacités fonctionnelles, qui a été mise en œuvre par l’assurance-invalidité par la suite. Les limitations fonctionnelles provisoires retenues étaient les suivantes : port de charges répétitif et/ou prolongé de plus de 15 kg, mouvements nécessitant de la force de la main et du poignet gauche de manière répétitive surtout avec contact avec la paume, activités avec vibrations. Un changement d’activité professionnelle était conseillé. Le 28 juin 2022, le Dr D______, médecin-conseil de l’intimée, a rendu un rapport après avoir examiné le recourant. Au terme d’un examen minutieux, d’une anamnèse complète, laquelle reprend notamment les différentes conclusions et constats de ses confrères, il s’est prononcé sur la capacité de travail résiduelle du recourant et de ses limitations fonctionnelles. Ses conclusions, motivées et convaincantes, fondées sur une analyse complète du dossier et ses propres constatations cliniques, emportent conviction. C’est ainsi qu’il a retenu que l’activité habituelle d’agent d’entrepôt et logisticien chez B______ n’était plus exigible, en particulier en ce qui concernait la partie physique de l’activité. Le recourant était en revanche capable de travailler à plein temps et avec un plein rendement dans toute activité adaptée aux limitations fonctionnelles, en utilisant principalement le membre et la main droits (main dominante). Les limitations fonctionnelles définitives suivantes étaient retenues : port de charges même léger, maximum 5kg, avec la main gauche, activité nécessitant de la force avec la main et le poignet gauches, activité entraînant des contacts répétitifs avec la paume gauche, activité répétitive du poing et des doigts de la main gauche, activité avec vibrations. L’avis légèrement divergent du chirurgien traitant ne saurait justifier que l’on s’écarte des limitations fonctionnelles retenues par le Dr D______. En effet, le Dr E______ se limite à lister les limitations fonctionnelles qu’il retient, sans les motiver, ajoutant dans son second certificat celles retenues par son confrère de la SUVA. En particulier, on ne comprend pas pour quelle raison le médecin considère que les activités répétitives avec le membre supérieur gauche seraient contre-indiquées, alors que seule la main est concernée par les séquelles de l’accident. Cette limitation est par ailleurs contredite par les mensurations des membres supérieurs effectuées par le Dr D______, mensurations qui ne laissent pas apparaître de différence de périmètre au niveau des deux bras, étant rappelé que le membre dominant du recourant est celui qui n’a pas été blessé. Ceci laisse clairement penser que le recourant se sert de ses deux bras de façon équivalente. L’évaluation des capacités professionnelles à la CRR en janvier 2022 sur mandat de l’assurance-invalidité ne va pas non plus dans le sens des limitations complémentaires retenues par le Dr E______. En effet, l’assuré avait notamment été capable de travailler à l’établi dans un poste bimanuel pendant plusieurs heures d’affilée. Quant à la nécessité d’éviter les travaux dans le froid, elle ne repose sur aucune plainte du recourant ou constatation clinique. Aucune mention y relative ne se retrouve dans les pièces médicales au dossier. Quoi qu’il en soit, même à admettre que cette restriction supplémentaire doive être retenue, cela serait sans influence sur l’établissement du taux d’invalidité, comme cela sera démontré ci-après. Au vu de ce qui précède, nul n’est besoin de procéder à l’audition du Dr E______, dans la mesure où ses considérations ne permettent pas de mettre en doute les conclusions du Dr D______, respectivement sont dépourvues d’influence sur la détermination du taux d’invalidité.</w:t>
      </w:r>
    </w:p>
    <w:p>
      <w:r>
        <w:rPr>
          <w:b/>
        </w:rPr>
        <w:t>E. 15.3</w:t>
      </w:r>
    </w:p>
    <w:p>
      <w:r>
        <w:t>Les limitations fonctionnelles du recourant étant fixées, il convient à présent d’examiner si l’abattement de 10% opéré par l’intimée est conforme à la jurisprudence rappelée ci-dessus, étant précisé qu’aucun autre critère n’est susceptible d’avoir une influence sur les possibilités de gain du recourant dans le cas présent. À ce propos, on rappellera que l’absence de formation n’est pas un critère reconnu par la jurisprudence pour définir l’abattement éventuel sur le salaire statistique, ce d’autant qu’il existe un nombre significatifs d’emplois de nécessitant pas de formation parmi l’ensemble des activité simples et répétitives offertes sur un marché équilibré du travail. En l’espèce, les capacités fonctionnelles du recourant ont été testées concrètement non seulement lors de son séjour à la CRR, mais aussi et surtout lors de l’évaluation mandatée par l’assurance-invalidité. Il ressort de cette dernière que le recourant peut prétendre à des postes de travail compatibles avec ses limitations dans de nombreux domaines. Ainsi, les activités retenues – dans une liste non exhaustive et dont la totalité permet de préserver la main du froid – sont suffisamment nombreuses pour considérer que l’intéressé n’est pas péjoré dans ses perspectives de gain au point qu’un abattement supérieur à celui appliqué par l’intimée se justifie. La liste évoquée ci-avant (cf. consid. B.e) a même été complétée par l’assurance-invalidité dans son projet de décision du</w:t>
      </w:r>
    </w:p>
    <w:p>
      <w:r>
        <w:rPr>
          <w:b/>
        </w:rPr>
        <w:t>E. 18</w:t>
      </w:r>
    </w:p>
    <w:p>
      <w:r>
        <w:t>Pour le surplus, la procédure est gratuite (art. 61 let. f bis LPGA a contrario).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