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A/77/2006 vom 30. Januar 2006</w:t>
      </w:r>
    </w:p>
    <w:p>
      <w:r>
        <w:t>GE Cour de justice, 2006-01-30, FR</w:t>
      </w:r>
    </w:p>
    <w:p>
      <w:r>
        <w:rPr>
          <w:b/>
        </w:rPr>
        <w:t xml:space="preserve">Quelle: </w:t>
      </w:r>
      <w:r>
        <w:t>https://mcp.opencaselaw.ch/entscheid/ge_gerichte_A_77_2006</w:t>
      </w:r>
    </w:p>
    <w:p>
      <w:r>
        <w:t>FR: GE_GERICHTE A/77/2006 du 30 janvier 2006</w:t>
      </w:r>
    </w:p>
    <w:p>
      <w:r>
        <w:t>IT: GE_GERICHTE A/77/2006 del 30 gennaio 2006</w:t>
      </w:r>
    </w:p>
    <w:p>
      <w:pPr>
        <w:pStyle w:val="Heading2"/>
      </w:pPr>
      <w:r>
        <w:t>Erwägungen</w:t>
      </w:r>
    </w:p>
    <w:p>
      <w:r>
        <w:rPr>
          <w:b/>
        </w:rPr>
        <w:t>E. 1</w:t>
      </w:r>
    </w:p>
    <w:p>
      <w:r>
        <w:t>Par décision sur opposition du 8 décembre 2005, la doyenne de la faculté de psychologie et des sciences de l’éducation (ci-après : FPSE) de l’université de Genève a confirmé l’élimination de la section de psychologie de Madame T__________, domiciliée à Genève. Admise conditionnellement pour l’année académique 2004-2005, Mme T__________ n’avait pas rempli la condition nécessaire, à savoir l’obtention du certificat propédeutique au plus tard en octobre 2005.</w:t>
      </w:r>
    </w:p>
    <w:p>
      <w:r>
        <w:rPr>
          <w:b/>
        </w:rPr>
        <w:t>E. 2</w:t>
      </w:r>
    </w:p>
    <w:p>
      <w:r>
        <w:t>Mme T__________ a saisi la commission de recours de l’université (CRUNI) d’un recours contre la décision précitée par acte du 9 janvier 2006. Elle conclut à ce que l’effet suspensif soit octroyé au recours et, sur le fond,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la recourante se confondent avec celles qu’elle prend sur le fond. Or, elle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de la recourante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