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A/775/2024 vom 5. November 2024</w:t>
      </w:r>
    </w:p>
    <w:p>
      <w:r>
        <w:t>GE Cour de justice, 2024-11-05, FR</w:t>
      </w:r>
    </w:p>
    <w:p>
      <w:r>
        <w:rPr>
          <w:b/>
        </w:rPr>
        <w:t xml:space="preserve">Quelle: </w:t>
      </w:r>
      <w:r>
        <w:t>https://mcp.opencaselaw.ch/entscheid/ge_gerichte_A_775_2024</w:t>
      </w:r>
    </w:p>
    <w:p>
      <w:r>
        <w:t>FR: GE_GERICHTE A/775/2024 du 5 novembre 2024</w:t>
      </w:r>
    </w:p>
    <w:p>
      <w:r>
        <w:t>IT: GE_GERICHTE A/775/2024 del 5 novembre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 bien qu’adressé à une juridiction incompétente (cf. art. 39 al. 2 LPGA par analogie par renvoi de l’art. 60 al. 2 LPGA, ainsi que 17 al. 5 LPA).</w:t>
      </w:r>
    </w:p>
    <w:p>
      <w:r>
        <w:rPr>
          <w:b/>
        </w:rPr>
        <w:t>E. 2</w:t>
      </w:r>
    </w:p>
    <w:p>
      <w:r>
        <w:t>Le litige porte sur la question de savoir si l'intimée était en droit de ne pas entrer en matière sur l’opposition formée par la recourante contre la facture après révision datée du 3 novembre 2023.</w:t>
      </w:r>
    </w:p>
    <w:p>
      <w:r>
        <w:rPr>
          <w:b/>
        </w:rPr>
        <w:t>E. 3.1</w:t>
      </w:r>
    </w:p>
    <w:p>
      <w:r>
        <w:t>Aux termes de l'art. 52 LPGA, les décisions peuvent être attaquées dans les trente jours par voie d'opposition auprès de l'assureur qui les a rendues, à l'exception des décisions d'ordonnancement de la procédure. Selon l’art. 10 OPGA, l’opposition doit contenir des conclusions et être motivée (al. 1). Dans les autres cas – que ceux mentionnés à l’al. 2 (non pertinents ici)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w:t>
      </w:r>
    </w:p>
    <w:p>
      <w:r>
        <w:rPr>
          <w:b/>
        </w:rPr>
        <w:t>E. 3.2</w:t>
      </w:r>
    </w:p>
    <w:p>
      <w:r>
        <w:t>En vertu de l'art. 39 al. 1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Conformément à l’art. 40 LPGA, si l’assureur fixe un délai pour une action déterminée, il indique en même temps les conséquences d’un retard. Celui-ci ne peut avoir d’autres conséquences que celles mentionnées dans l’avertissement (al. 2). Le délai fixé par l’assureur peut être prolongé pour des motifs pertinents si la partie en fait la demande avant son expiration (al. 3). 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4.1</w:t>
      </w:r>
    </w:p>
    <w:p>
      <w:r>
        <w:t>En l’espèce, par courrier du 29 novembre 2023, reçu le lendemain 30 novembre 2023 par la caisse, la société a « [contesté] le montant de reprise facturé ». Il était ensuite écrit : « En effet, nous sommes en mesure de justifier une partie des frais qui ont été repris à titre de salaire, et avons à disposition une reconnaissance de dette liée au compte-courant associé établie le 25 octobre 2021. [À la ligne] Nous vous transmettrons volontiers un dossier contenant une liste détaillée accompagnée des pièces justificatives ces prochains jours ». La caisse a à juste titre considéré ce courrier comme une opposition. En effet, la volonté la société de ne pas accepter la facture après révision ressortait clairement de cette écriture (cf., dans ce sens, arrêts du Tribunal fédéral 8C_657/2019 du 3 juillet 2020 ; 8C_775/2016 du 1 er février 2017 consid. 2.4 et les références).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(ATF 143 V 249 consid. 6.2 ; 142 V 152 consid. 2.3 ; 134 V 162 consid. 2.3 ; arrêts du Tribunal fédéral 8C_245/2022 du 7 septembre 2022 consid. 3.2 et les références ; 8C_748/2021 du 23 mars 2022 consid. 3.2 et les références).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 arrêts du Tribunal fédéral 8C_245/2022 précité consid. 3.2 ; 8C_748/2021 du 23 mars 2022 consid. 3.2). L’écrit de la société du 29 novembre 2023 ne contient aucune motivation minimale pour comprendre quels postes (montants) de reprise dans la facture après révision du 3 novembre 2023 seraient contestés, et aucun renseignement ni document n’est présenté à cette fin par la recourante, de sorte qu’il était impossible pour l’intimée de statuer sur cette opposition. C’est en conséquence conformément au droit que la caisse a, par lettre (en A Plus) du 6 décembre 2023, distribuée le lendemain, imparti un délai à la société pour préciser et expliquer plus en détail les motifs de l’opposition, ainsi que ce qui y était expressément demandé, à savoir quels postes (montants) précis de la facture de révision étaient selon elle erronés et pourquoi. Avec le délai fixé au 5 janvier 2024, la recourante a bénéficié d’un laps de temps de vingt-neuf jours (depuis le 8 décembre, lendemain de la notification de la lettre du 6 décembre 2023) pour motiver son opposition, ce qui apparaît manifestement convenable au sens de l’art. 10 al. 5 OPGA. Par surabondance, même si l’on tenait compte d’une éventuelle fermeture annuelle du 25 décembre 2023 au 5 janvier 2024 inclus, conformément à une obligation contractuelle prévue dans la CCT du secteur du bâtiment, telle qu’alléguée par la recourante, cela ne changerait rien au fait que le délai serait toujours convenable au sens de l’art. 10 al. 5 OPGA, puisque la société aurait eu à tout le moins quinze jours (du vendredi 8 au vendredi 22 décembre 2023) pour s’organiser et combler les lacunes de son opposition.</w:t>
      </w:r>
    </w:p>
    <w:p>
      <w:r>
        <w:rPr>
          <w:b/>
        </w:rPr>
        <w:t>E. 4.2</w:t>
      </w:r>
    </w:p>
    <w:p>
      <w:r>
        <w:t>Selon les allégations de la recourante, malgré la fermeture annuelle du 25 décembre 2023 au 5 janvier 2024 selon la CCT du secteur du bâtiment qui vaudrait aussi pour la fiduciaire (laquelle aurait « pour principaux clients des entreprises du milieu du bâtiment »), un collaborateur de la fiduciaire a exceptionnellement pu se libérer durant la période de vacances « afin de traiter cette demande » et il a posté le courrier daté du 4 janvier 2024 – censé contenir la motivation complémentaire de l’opposition – « le vendredi 5 janvier 2024 au travers d’une boîte aux lettres jaune de la poste ». D’après la société, « [la méconnaissance par ledit collaborateur] des procédures dans le cadre de la relève du courrier par la Poste résulte au fait que le courrier n’a été relevé de la boîte aux lettres que le lundi 8 janvier 2024 » (sic). Cela étant, d’une part, comme le fait valoir l’intimée, l’enveloppe qui a été reçue le 9 janvier 2024 par celle-ci et qui contenait cet écrit daté du 4 janvier 2024 est garnie d’une étiquette datée du lundi 8 janvier 2024 à 16h12 et établie par une filiale à Genève de La Poste suisse, qui atteste que l’expéditeur de l’envoi s’est acquitté ledit 8 janvier 2024 d’une taxe (« TaxB ») de CHF 0.50 en plus des deux timbres de CHF 1.10 chacun. C’est donc le lundi 8 janvier 2024, soit après le délai imparti au vendredi 5 janvier 2024 par la lettre du 6 décembre 2023 (« avant le 5 janvier 2024 [date du timbre postal] ») – avec la précision qu’en l’absence de réponse dans le délai imparti la caisse se verrait contrainte de rendre une décision de non-entrée en matière sur l’opposition –, que la fiduciaire a, au sens de l’art. 39 al. 1 LPGA, remis à La Poste suisse son écriture, laquelle est dès lors tardive, étant au surplus relevé que le courriel d’envoi date également du 8 janvier 2024. À cet égard, il n’apparaît pas concevable que le collaborateur de la fiduciaire aurait éventuellement pu s’acquitter de la taxe de CHF 0.50 alors qu’il aurait déposé l’enveloppe dans une boîte aux lettres trois jours auparavant. Aucune allégation ne permet de penser que La Poste suisse aurait éventuellement contacté la fiduciaire pour le versement au guichet de la taxe après un envoi du pli. Au demeurant, même dans cette hypothèse, cela ne changerait rien à la conclusion de tardiveté de l’envoi du courrier daté du 4 janvier 2024. Certes, selon la jurisprudence,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124 V 372 consid. 3b p. 375 ; 115 Ia 8 consid. 3a p. 11 ss et les références ; 109 Ib 343 consid. 2b p. 345 ; arrêts du Tribunal fédéral 9C_791/2015 du 1 er septembre 2016 consid. 2 ; 9C_139/2016 du 24 mai 2016 consid. 2). Or, en l’occurrence, ni le recours ou la réplique, ni la demande de restitution de délai formulée le 6 février 2024 par la fiduciaire ne font état d’une quelconque preuve à l’appui d’en envoi du courrier en cause le 5 janvier 2025. La fiduciaire se contente d’écrire le 6 février 2024 : « Problèmes de levée du courrier : Notre réponse a été postée dans une boîte aux lettres jaune de la poste, prévue à cet effet. Si cette correspondance n’a pas été prélevée à temps, cette situation échappe à notre contrôle. En effet, les horaires de levées variant d’une boîte à une autre, nous avions naturellement estimé que le dépôt était valablement effectué dans le délai imparti. Nous avons démontré notre bonne foi en respectant les délais, malgré les restrictions imposées par la période de fermeture ».</w:t>
      </w:r>
    </w:p>
    <w:p>
      <w:r>
        <w:rPr>
          <w:b/>
        </w:rPr>
        <w:t>E. 4.3</w:t>
      </w:r>
    </w:p>
    <w:p>
      <w:r>
        <w:t>Faisant valoir que l’écrit (censé contenir la motivation complémentaire de l’opposition) daté du 4 janvier 2024 a été expédié le 5 janvier 2024, soit dans le délai imparti conformément à l’art. 10 al. 5 OPGA, la recourante et la fiduciaire ne peuvent pas soutenir en même temps qu’elles auraient été empêchées, sans leur faute, d'agir dans le délai fixé, au sens de l’art. 41 LPGA, l’invocation de cette disposition légale apparaissant ainsi irrecevable pour ce motif déjà. Au demeurant, par surabondance, même dans l’hypothèse où la demande de restitution était recevable – ce qui n’est pas le cas –,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Or, dans le cas présent, comme exposé plus haut, la recourante ne fait valoir aucun empêchement non fautif au sens précité. En effet, le délai fixé le 6 décembre 2023 pour le 5 janvier 2024 était concrètement suffisant pour permettre à la fiduciaire de combler les lacune de l’opposition du 29 novembre 2023, malgré la fermeture annuelle alléguée, et aucune allégation ne suggère une impossibilité objective ou une impossibilité due à des circonstances personnelles de poster l’écriture requise selon l’art. 10 al. 5 OPGA dans le délai imparti. Il sied enfin de relever qu’en tout état de cause, ni la recourante ni la fiduciaire ne soutiennent qu’elles auraient réglé leur conduite d'après des décisions, des déclarations ou un comportement déterminé de l'administration – ici la caisse – (cf. ATF 129 I 161 consid. 4.1 ; 128 II 112 consid. 10b/aa ; 126 II 377 consid. 3a et les arrêts cités) ou même d’après un simple comportement de l'administration susceptible d'éveiller chez l'administré une attente ou une espérance légitime (cf. ATF 129 II 361 consid. 7.1 et arrêt du Tribunal fédéral 9C_628/2017 du 9 mai 2018 consid. 2.2, qui précisent qu’entre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ce que ce soit au sujet de l’obligation de réparer le vice de l’opposition du 29 novembre 2023 (art. 10 al. 5 OPGA) ou des modalités d’un envoi postal et de la preuve de ce dernier. C’est donc en vain que la bonne foi est invoquée.</w:t>
      </w:r>
    </w:p>
    <w:p>
      <w:r>
        <w:rPr>
          <w:b/>
        </w:rPr>
        <w:t>E. 4.4</w:t>
      </w:r>
    </w:p>
    <w:p>
      <w:r>
        <w:t>Vu ce qui précède, c’est conformément au droit que l’intimée n’est pas entrée en matière sur l’opposition formulée le 29 novembre 2023 par la recourante, en d’autres termes l’a déclarée irrecevable.</w:t>
      </w:r>
    </w:p>
    <w:p>
      <w:r>
        <w:rPr>
          <w:b/>
        </w:rPr>
        <w:t>E. 5</w:t>
      </w:r>
    </w:p>
    <w:p>
      <w:r>
        <w:t>Partant, le recours sera rejeté, dans la mesure où il est recevable.</w:t>
      </w:r>
    </w:p>
    <w:p>
      <w:r>
        <w:rPr>
          <w:b/>
        </w:rPr>
        <w:t>E. 6</w:t>
      </w:r>
    </w:p>
    <w:p>
      <w:r>
        <w:t>La procédure est gratuite (art. 89H al. 1 LPA et vu l'art. 61 let. fbis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