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A/772/2012 vom 3. Mai 2012</w:t>
      </w:r>
    </w:p>
    <w:p>
      <w:r>
        <w:t>GE Cour de justice, 2012-05-03, FR</w:t>
      </w:r>
    </w:p>
    <w:p>
      <w:r>
        <w:rPr>
          <w:b/>
        </w:rPr>
        <w:t xml:space="preserve">Quelle: </w:t>
      </w:r>
      <w:r>
        <w:t>https://mcp.opencaselaw.ch/entscheid/ge_gerichte_A_772_2012</w:t>
      </w:r>
    </w:p>
    <w:p>
      <w:r>
        <w:t>FR: GE_GERICHTE A/772/2012 du 3 mai 2012</w:t>
      </w:r>
    </w:p>
    <w:p>
      <w:r>
        <w:t>IT: GE_GERICHTE A/772/2012 del 3 maggio 2012</w:t>
      </w:r>
    </w:p>
    <w:p>
      <w:pPr>
        <w:pStyle w:val="Heading2"/>
      </w:pPr>
      <w:r>
        <w:t>Regeste</w:t>
      </w:r>
    </w:p>
    <w:p>
      <w:r>
        <w:t>Minimum vital. Modification de la quotité saisissable. Frais de transport. Contributions d'entretien payées à l'étranger. | Plainte partiellement admise; refus de prendre en compte des frais de transport pour le débiteur et son épouse qui n'exercent pas d'activité lucrative; prise en compte des frais d'écolage des enfants et d'un entretien calculé selon un ratio (parité de pouvoir d'achat en Suisse / au Cameroun) | LP.93.3</w:t>
      </w:r>
    </w:p>
    <w:p>
      <w:pPr>
        <w:pStyle w:val="Heading2"/>
      </w:pPr>
      <w:r>
        <w:t>Erwägungen</w:t>
      </w:r>
    </w:p>
    <w:p>
      <w:r>
        <w:rPr>
          <w:b/>
        </w:rPr>
        <w:t>E. 11</w:t>
      </w:r>
    </w:p>
    <w:p>
      <w:r>
        <w:t>xxxx98 E, 11 xxxx37 E et 11 xxxx41 A. Au fond : L'admet partiellement. Fixe la quotité saisissable à 1'275 fr. Invite l'Office des poursuites à restituer à M. B______ le trop perçu. Déboute les parties de toutes autres conclusions. Siégeant : Madame Ariane WEYENETH, présidente; Madame Valérie CARERA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