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A/772/2010 vom 20. April 2010</w:t>
      </w:r>
    </w:p>
    <w:p>
      <w:r>
        <w:t>GE Cour de justice, 2010-04-20, FR</w:t>
      </w:r>
    </w:p>
    <w:p>
      <w:r>
        <w:rPr>
          <w:b/>
        </w:rPr>
        <w:t xml:space="preserve">Quelle: </w:t>
      </w:r>
      <w:r>
        <w:t>https://mcp.opencaselaw.ch/entscheid/ge_gerichte_A_772_2010</w:t>
      </w:r>
    </w:p>
    <w:p>
      <w:r>
        <w:t>FR: GE_GERICHTE A/772/2010 du 20 avril 2010</w:t>
      </w:r>
    </w:p>
    <w:p>
      <w:r>
        <w:t>IT: GE_GERICHTE A/772/2010 del 20 aprile 2010</w:t>
      </w:r>
    </w:p>
    <w:p>
      <w:pPr>
        <w:pStyle w:val="Heading2"/>
      </w:pPr>
      <w:r>
        <w:t>Erwägungen</w:t>
      </w:r>
    </w:p>
    <w:p>
      <w:r>
        <w:rPr>
          <w:b/>
        </w:rPr>
        <w:t>E. 7</w:t>
      </w:r>
    </w:p>
    <w:p>
      <w:r>
        <w:t>Ainsi, le recours est admis, la décision du 9 février 2010 est annulée et la cause est renvoyée à l'OAI pour nouvelle décision au sens des considérants. A cet égard, le montant de la rente n'est pas formellement contesté par l'assurée, mais il a très certainement motivé en partie le dépôt du recours, de sorte qu'il conviendrait que l'OAI vérifie les bases de calcul retenues par la Caisse cantonale de compensation, voire avec la caisse GASTROSUISSE, compte tenu des périodes de travail salariées et indépendantes de l'assurée qui n'apparaissent pas dans les 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