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A/770/2016 vom 18. Juli 2017</w:t>
      </w:r>
    </w:p>
    <w:p>
      <w:r>
        <w:t>GE Cour de justice, 2017-07-18, FR</w:t>
      </w:r>
    </w:p>
    <w:p>
      <w:r>
        <w:rPr>
          <w:b/>
        </w:rPr>
        <w:t xml:space="preserve">Quelle: </w:t>
      </w:r>
      <w:r>
        <w:t>https://mcp.opencaselaw.ch/entscheid/ge_gerichte_A_770_2016</w:t>
      </w:r>
    </w:p>
    <w:p>
      <w:r>
        <w:t>FR: GE_GERICHTE A/770/2016 du 18 juillet 2017</w:t>
      </w:r>
    </w:p>
    <w:p>
      <w:r>
        <w:t>IT: GE_GERICHTE A/770/2016 del 18 luglio 2017</w:t>
      </w:r>
    </w:p>
    <w:p>
      <w:pPr>
        <w:pStyle w:val="Heading2"/>
      </w:pPr>
      <w:r>
        <w:t>Erwägungen</w:t>
      </w:r>
    </w:p>
    <w:p>
      <w:r>
        <w:rPr>
          <w:b/>
        </w:rPr>
        <w:t>E. 2</w:t>
      </w:r>
    </w:p>
    <w:p>
      <w:r>
        <w:t>. Il s’agissait donc bien d’un appartement de deux pièces. Les conditions à l’octroi d’une dérogation quant à l’application desdites règles n’étaient pas remplies. Ainsi que l’avait relevé l’autorité de première instance, la chambre et le séjour étaient reliés par une ouverture de 1,60 m de large qui n’était pas munie d’une porte, ce qui ne permettait pas de bénéficier dans cet espace de l’intimité nécessaire à une chambre. En dernier lieu, il apparaissait que les éléments retenus dans l’APA 33'926 du 2 décembre 2010, soit deux pièces et demie pour un appartement identique, découlaient d’une erreur, les conditions d’application du principe de l’égalité dans l’illégalité n’étaient pas remplies. 7) Par acte mis à la poste le 31 janvier 2017 à l’attention du TAPI et transmis par ce dernier à la chambre administrative de la Cour de justice (ci-après : la chambre administrative), la fondation a recouru contre le jugement précité, reprenant et développant les éléments qu’elle avait exposés en première instance et concluant principalement à ce que les deux APA litigieuses retenaient que les appartements étaient de deux pièces et demie, le calcul de loyer devant être adapté selon ce nombre ; subsidiairement, la cause devait être renvoyée au TAPI afin qu’il effectue ce calcul. ![endif]&gt;![if&gt; Lors du dépôt de la requête, il avait été prévu que le loyer, après travaux de l’appartement n° 59, demeure inchangé alors que celui de l’appartement n° 69 devait augmenter à CHF 8'513.- par année ou CHF 709.40 par mois, soit une hausse de CHF 137.40 par mois. Si le RGL était applicable, le résultat de son application était insatisfaisant puisqu’il modifiait le nombre de pièces retenu à l’origine. Un calcul dérogatoire, prévu à l’art. 1 al. 8 RGL devait être effectué. À défaut, il y aurait un changement de pratique administrative inadmissible et une violation de l’égalité de traitement, en particulier par rapport à l’APA 33'926. De plus, le jugement litigieux violait l’interdiction de la rétroactivité ainsi que les principes de sécurité et de prévisibilité du droit. 8) Le 31 janvier 2017, le TAPI a transmis son dossier, précisant qu’une des références jurisprudentielles qu’il avait données était erronée, dès lors qu’il avait indiqué que le JTAPI/1276/2016 était définitif et exécutoire, alors qu’il faisait l’objet d’un recours pendant devant la chambre administrative.![endif]&gt;![if&gt; 9) Le 27 février 2017, le DALE a conclu au rejet du recours, reprenant et développant tant les éléments figurant dans le jugement litigieux que ceux qu’il avait exposés antérieurement. ![endif]&gt;![if&gt; 10) La fondation ne s’étant pas manifestée dans le délai qui lui a été accordé pour exercer son droit à la réplique, la cause a été gardée à juger le 18 avril 2017.![endif]&gt;![if&gt;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principalement sur le calcul du nombre de pièces de l’appartement faisant l’objet de l’autorisation. ![endif]&gt;![if&gt; 3) L’art. 1 RGL définit la façon de calculer le nombre de pièces des logements soumis à la LGL. ![endif]&gt;![if&gt; De jurisprudence, ancienne, constante et récemment confirmée, la chambre de céans a toujours considéré qu’il était possible d’appliquer la disposition précitée, par analogie, au calcul du nombre de pièces selon la loi sur les démolitions, transformations et rénovations de maisons d'habitation (mesures de soutien en faveur des locataires et de l'emploi) du 25 janvier 1996 (LDTR - L 5 20), les buts poursuivis par la LDTR et la LGL relevant d’un même souci de préserver l’habitat et de lutter contre la pénurie de logements à Genève ( ATA/673/2017 du 20 juin 2017, ainsi que les références citées). Cette jurisprudence a aussi été confirmée par le Tribunal fédéral dans un arrêt 1C_323/2014 du 10 octobre 2014 consid. 7.2. 4) La recourante se plaint d’un excès négatif dans le pouvoir d’appréciation du DALE, ce dernier ayant appliqué selon elle une solution trop schématique ne tenant pas compte des particularités du cas d’espèce, soit le fait que, depuis plus de quarante ans, les logements en question ont été considérés comme des deux pièces et demie.![endif]&gt;![if&gt;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citées). Constitue un excès négatif du pouvoir d’appréciation le fait que l’administration se considère comme liée, alors que la loi l’autorise à statuer selon son appréciation ou encore qu’elle renonce d’emblée en tout ou partie à exercer ce pouvoir ( ATA/473/2016 du 7 juin 2016). Ce grief ne peut être retenu. En premier lieu, une simple consultation du plan des logements en question démontre qu’il n’est pas constitué de deux pièces et demie. La cuisine est uniquement un laboratoire où il n’est pas possible de manger. La chambre à coucher est ouverte sur la pièce principale, sans qu’il ne soit possible d’y avoir de l’intimité ou d’y isoler par exemple un enfant pour qu’il dorme. Face à cette réalité, les éléments mis en avant par la recourante, principalement le nombre de pièces retenu par les autorités pour les appartements concernés depuis l’édification du bâtiment, sont inaptes à modifier le décompte des pièces de ces appartements qui vient d’être exposé. Ainsi, l’appréciation de l’autorité ne peut être considérée comme excédant le pouvoir d’appréciation dont elle dispose et ne prête pas le flanc à la critique. 5) La recourante soutient que le DALE et l’autorité judiciaire de première instance, en retenant que les appartements concernés sont constitués de deux pièces et non de deux pièces et demie, ont procédé à un changement de pratique inadmissible et violé le principe de l’inégalité de traitement.![endif]&gt;![if&gt; a.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ATA/596/2015 du 9 juin 2015 ; ATA/20/2015 du 6 janvier 2015). b. En l’espèce, le DALE n’a pas procédé à un changement de pratique. Ainsi que rappelé ci-dessus, les règles de calcul du nombre de pièces prévues par la LGL et le RGL sont régulièrement utilisées dans le cadre de la LDTR à tout le moins depuis dix ans ( ATA/567/2005 du 16 août 2005). Dans ce cadre, la délivrance de l’APA 3’392 en 2010, laquelle retient deux pièces et demie pour des logements similaires, doit sur ce point être considérée comme erronée et est contraire aux règles qui auraient dû être appliquées. Ce grief doit en conséquence aussi être écarté. 6) La fondation soutient que, en appliquant à des logements édifiés il y a plusieurs dizaines d’années la méthode de comptage des pièces instaurée par la LGL et le RGL, le département et le TAPI auraient violé l’interdiction de la rétroactivité des lois.![endif]&gt;![if&gt; a. En règle générale, s'appliquent aux faits dont les conséquences juridiques sont en cause, les normes en vigueur au moment où ces faits se produisent ( ATA/412/2017 du 11 avril 2017 consid. 6 et les références citées ; Pierre MOOR/Alexandre FLÜCKIGER/Vincent MARTENET, Droit administratif, 3 ème éd., 2012, vol. 1, p. 184). Liée aux principes de sécurité du droit et de prévisibilité, l'interdiction de la rétroactivité des lois résulte du droit à l'égalité de l'art. 8 de la Constitution fédérale de la Confédération suisse du 18 avril 1999 (Cst. - RS 101), ainsi que de l'interdiction de l'arbitraire et de la protection de la bonne foi garanties par les art. 5 et 9 Cst.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(ATF 138 I 189 consid. 3.4 ; 119 Ia 254 consid. 3b et la jurisprudence citée). La rétroactivité doit en outre être raisonnablement limitée dans le temps (ATF 125 I 182 consid. 2b/cc ; ATF 122 V 405 consid. 3b/aa ; arrêts du Tribunal fédéral 1C_366/2016 du 13 février 2017 consid. 2.1 ; 2C_273/2014 du 23 juillet 2014 consid. 4.1 ; ATA/412/2017 précité consid. 6). b. En l’espèce, il ne s’agit pas d’appliquer rétroactivement la LGL et le RGL, mais d’utiliser, par analogie, les règles prévues par ces textes pour fixer le nombre de pièces des logements concernés. Le résultat obtenu, qui coïncide avec la réalité physique de l’appartement en question, ne saurait dès lors violer d’une quelconque manière le principe rappelé ci-dessus. En conséquence, ce grief sera écarté. 7) Au vu de ce qui précède, le recours sera rejeté. ![endif]&gt;![if&gt; Un émolument de CHF 1'000.- sera mis à la charge de la recourante qui succombe (art. 87 al. 1 LPA).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