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A/770/2013 vom 21. März 2013</w:t>
      </w:r>
    </w:p>
    <w:p>
      <w:r>
        <w:t>GE Cour de justice, 2013-03-21, FR</w:t>
      </w:r>
    </w:p>
    <w:p>
      <w:r>
        <w:rPr>
          <w:b/>
        </w:rPr>
        <w:t xml:space="preserve">Quelle: </w:t>
      </w:r>
      <w:r>
        <w:t>https://mcp.opencaselaw.ch/entscheid/ge_gerichte_A_770_2013</w:t>
      </w:r>
    </w:p>
    <w:p>
      <w:r>
        <w:t>FR: GE_GERICHTE A/770/2013 du 21 mars 2013</w:t>
      </w:r>
    </w:p>
    <w:p>
      <w:r>
        <w:t>IT: GE_GERICHTE A/770/2013 del 21 marzo 2013</w:t>
      </w:r>
    </w:p>
    <w:p>
      <w:pPr>
        <w:pStyle w:val="Heading2"/>
      </w:pPr>
      <w:r>
        <w:t>Erwägungen</w:t>
      </w:r>
    </w:p>
    <w:p>
      <w:r>
        <w:rPr>
          <w:b/>
        </w:rPr>
        <w:t>E. 1</w:t>
      </w:r>
    </w:p>
    <w:p>
      <w:r>
        <w:t>Le recours, interjeté devant l'autorité compétente et dans le délai de dix jours à partir de la publication de l'appel d'offres, est a priori recevable (art. 15 al. 2 et 2bis AIMP ; art. 17A al. 2 let. b de la loi sur la procédure administrative du 12 septembre 1985 - LPA - E 5 10 ; art. 56 al. 1 RMP).</w:t>
      </w:r>
    </w:p>
    <w:p>
      <w:r>
        <w:rPr>
          <w:b/>
        </w:rPr>
        <w:t>E. 2</w:t>
      </w:r>
    </w:p>
    <w:p>
      <w:r>
        <w:t>En matière de marchés publics, le recours n’a pas d’effet suspensif (art. 17 al. 1 AIMP et 58 al. 1 RMP). Toutefois, à teneur des art. 17 al. 1 AIMP et 58 al. 2 RMP, l’autorité de recours peut d’office ou sur demande accorder l’effet suspensif au recours aux conditions cumulatives suivantes : si celui-ci paraît suffisamment fondé ; si aucun intérêt public ou privé prépondérant ne s’y oppose.</w:t>
      </w:r>
    </w:p>
    <w:p>
      <w:r>
        <w:rPr>
          <w:b/>
        </w:rPr>
        <w:t>E. 3</w:t>
      </w:r>
    </w:p>
    <w:p>
      <w:r>
        <w: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H. STÖCKLI, Marchés publics 2010, Zurich 2010, pp. 311-341, n. 15 p. 317). La restitution de l’effet suspensif constitue cependant une exception en matière de marchés publics et représente une mesure dont les conditions ne peuvent être admises qu’avec restriction ( ATA/60/2013 du 31 janvier 2013 consid. 5 ; ATA/85/2012 du 7 février 2012 consid. 2 ; ATA/752/2011 du 8 décembre 2011 ; ATA/614/2011 du 28 septembre 2011 consid. 2 ; ATA/214/2011 du 1 er avril 2011).</w:t>
      </w:r>
    </w:p>
    <w:p>
      <w:r>
        <w:rPr>
          <w:b/>
        </w:rPr>
        <w:t>E. 4</w:t>
      </w:r>
    </w:p>
    <w:p>
      <w:r>
        <w:t>En l’espèce, les recourantes remettent en question la validité juridique d'un critère d'adjudication posé par la ville, soit celui du niveau de rémunération des employés. A ce stade de la procédure, il est délicat de procéder, avant instruction complète de la cause, à une évaluation prima facie des chances de succès du recours. La prise en compte des intérêts publics et privés conduit à retenir que, s’il y a un intérêt public prépondérant à ce que la procédure suive son cours, compte tenu des échéances prévues à la fin de l’année 2013 pour les contrats en cours, les recourantes ont un intérêt privé prépondérant à ce que la ville ne procède pas à l’évaluation des offres et ne prenne aucune décision d’exclusion ou d’adjudication avant que le présent contentieux ne soit définitivement tranché. Sur le fond, en cas d’admission du recours, toute la procédure risquerait de devoir être recommencée ab initio . En cas de rejet de celui-ci, la procédure d’adjudication pourrait continuer au stade où elle aura été interrompue, soit au stade du dépôt des offres. En vertu des art. 5 et 7 du règlement de la chambre administrative, l’effet suspensif au recours sera accordé, d’une manière limitée au sens des considérants qui précèdent. LA CHAMBRE ADMINISTRATIVE accorde au recours un effet suspensif limité ; fait interdiction à la Ville de Genève de procéder à toute évaluation des offres et de prendre toute décision d’adjudication ; autorise la poursuite de la procédure d’appel d’offres pour le surplus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le présent arrêt à Me Bénédict Fontanet, avocat des recourantes, ainsi qu’à la Ville de Genève - centrale municipale d’achat et d’impression.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