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A/767/2024 vom 23. August 2024</w:t>
      </w:r>
    </w:p>
    <w:p>
      <w:r>
        <w:t>GE Cour de justice, 2024-08-23, FR</w:t>
      </w:r>
    </w:p>
    <w:p>
      <w:r>
        <w:rPr>
          <w:b/>
        </w:rPr>
        <w:t xml:space="preserve">Quelle: </w:t>
      </w:r>
      <w:r>
        <w:t>https://mcp.opencaselaw.ch/entscheid/ge_gerichte_A_767_2024</w:t>
      </w:r>
    </w:p>
    <w:p>
      <w:r>
        <w:t>FR: GE_GERICHTE A/767/2024 du 23 août 2024</w:t>
      </w:r>
    </w:p>
    <w:p>
      <w:r>
        <w:t>IT: GE_GERICHTE A/767/2024 del 23 agosto 2024</w:t>
      </w:r>
    </w:p>
    <w:p>
      <w:pPr>
        <w:pStyle w:val="Heading2"/>
      </w:pPr>
      <w:r>
        <w:t>Regeste</w:t>
      </w:r>
    </w:p>
    <w:p>
      <w:r>
        <w:t>REMISE EN L'ÉTAT;RÉTABLISSEMENT DE L'ÉTAT ANTÉRIEUR;PERMIS DE CONSTRUIRE;PROPORTIONNALITÉ | LCI.129.lete; LCI.130; LCI.137; LaLAT.20</w:t>
      </w:r>
    </w:p>
    <w:p>
      <w:pPr>
        <w:pStyle w:val="Heading2"/>
      </w:pPr>
      <w:r>
        <w:t>Erwägungen</w:t>
      </w:r>
    </w:p>
    <w:p>
      <w:r>
        <w:rPr>
          <w:b/>
        </w:rPr>
        <w:t>E. 11</w:t>
      </w:r>
    </w:p>
    <w:p>
      <w:r>
        <w:t>Par réplique du 31 mai 2024, les recourants ont persisté intégralement dans leurs conclusions. Ils persistaient à contester l'assujettissement de la clôture et du cheminement en pavés à autorisation de construire. Ces derniers ne sauraient être assimilés aux objets (serres-tunnels d’environ 18 x 10m servant d’abris pour chevaux) visés dans l'arrêt du Tribunal fédéral IC_112/2023 du 15 décembre 2023 sur lequel le département fondait son analyse. En l’espèce, le chemin pavé était dessiné par des matériaux naturels, large de moins d'un mètre et ne formait aucun relief. A peine visible depuis l'extérieur, il ne modifiait en rien, et encore moins « sensiblement », l'aspect extérieur de la parcelle. Il n’en allait pas différemment du chemin en gravier, étant rappelé qu’un chemin similaire préexistait. L’impact de la barrière n’était également en rien comparable avec celui de deux abris pour chevaux en plastique vert mesurant environ 10 x 18 x 3 m, ce d’autant plus que cette dernière se fondait dans le feuillage de la haie végétale contre laquelle elle était installée. Sous l’angle de l'examen de la proportionnalité, ils rappelaient les divers intérêts publics et privés en jeu, lesquels devaient conduire le département à renoncer à l'ordre de démolition, ce d’autant que, comme expliqué dans le recours, photographies à l'appui, les aménagements litigieux étaient mineurs. Enfin, l'objectif de l'ordre de remise en état était confus et peu clair puisqu'il tendait à deux résultats incompatibles. Le département souhaitait à l'évidence que les aménagements litigieux soient retirés et que l'état antérieur soit reconstitué. Or, l'état antérieur n'étant autre qu'un terrain de gravas, soit un sol caillouteux, inesthétique et impropre à la culture, l’on ne voyait pas quel intérêt public serait sauvegardé par cette reconstitution. Il était incompréhensible de leur demander à la fois de revenir à l'état antérieur et de veiller à ce que les emplacements des aménagements litigieux soient « aptes à être exploités pour l'agriculture ». Ils ont produit des nouvelles photographies de la barrière.</w:t>
      </w:r>
    </w:p>
    <w:p>
      <w:r>
        <w:rPr>
          <w:b/>
        </w:rPr>
        <w:t>E. 12</w:t>
      </w:r>
    </w:p>
    <w:p>
      <w:r>
        <w:t>Dans sa duplique du 30 janvier 2023, le département a persisté dans les conclusions prises dans ses précédentes observations. Les faits allégués par les recourants selon lesquels la clôture permettrait de protéger les animaux domestiques de leurs locataires d'éventuels accidents routiers ainsi que la faune et la flore environnante n’étaient ni démontrés ni crédibles. Seuls des critères objectifs étaient déterminants, à l'exclusion de points de vue subjectifs du constructeur ou de motifs de convenance personnelle. Or, dans la mesure où la détention de ces animaux domestiques servait uniquement d'activité de loisirs, non conforme à l'affectation de la zone agricole, elle ne saurait l'emporter sur l'intérêt public important à ce que le principe de la séparation de l'espace bâti et non bâti, déduit aujourd'hui de l'art. 75 al. 1 Cst., soit respecté et à limiter le nombre et les dimensions des constructions hors zone à bâtir.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ATA/1218/2017 du 22 août 2017 consid. 3b). La contestation ne peut excéder l’objet de la décision attaquée, c’est-à-dire les prétentions ou les rapports juridiques sur lesquels l’autorité inférieure s’est prononcée ou aurait dû se prononcer ( ATA/1218/2017 du 22 août 2017 consid. 3b ; ATA/421/2017 du 11 avril 2017 consid. 5 et les références citées ; ATA/1145/2015 du 27 octobre 2015 consid. 4b). 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5.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2011, p. 179 n. 515). 6.             En l’espèce, s’agissant des objets visés par la décision du 26 janvier 2024, les recourants ont indiqué qu’ils ne s’opposaient pas à la suppression des places de parking en pavé engazonnés et qu’ils y procèderaient dans le délai imparti. Il ne ressort pour le surplus pas de leurs écritures qu’ils s’opposent à l’évacuation de la cabane de jardin en métal. Il leur appartiendra néanmoins de faire parvenir au département un reportage photographique ou tout autre élément attestant de manière univoque de la mise en conformité les concernant, comme exigé dans la décision querellée. Seules restent ainsi litigieuses les mesures, non réalisées, leur ordonnant la suppression et l'évacuation de la clôture en bois sur le pourtour de la parcelle, du cheminement en gravier, du cheminement en pavés ainsi que la remise en état du terrain naturel après les réalisations précitées. Il s’agira dès lors d’examiner si le département était fondé à prononcer ces dernières à l’encontre des recourants. 7.             Les recourante considèrent que l’ordre de remise en conformité du département est infondé, ce dernier ayant considéré à tort que les cheminements et la clôture étaient des aménagements soumis à autorisation. L’ordre de remise en état était en tout état disproportionné dès lors qu’il ne tenait pas compte des intérêts privés et publics prépondérants au maintien des installations litigieuses. Son objectif était enfin confus et peu clair puisqu’il tendait à deux résultats incompatibles dès lors qu’un retour à l’état antérieur, soit un terrain de gravas, ne permettrait pas de veiller à ce que les emplacements litigieux soient « aptes à être exploités pour l’agricultures ». 8.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 9.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ATF 119 Ib 222 consid. 3a). La définition jurisprudentielle susmentionnée comporte quatre conditions cumulatives (Piermarco ZEN-RUFFINEN/Christine GUY-ECABERT, Aménagement du territoire, construction, expropriation, 2001, p. 214-218) : 1.      La création par la main de l'homme, excluant toute modification naturelle du terrain telle que des éboulis ; 2.      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ZEN-RUFFINEN/Christine GUY-ECABERT, op. cit. p. 215) ; 3.      La fixation au sol de la construction.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 arrêt du Tribunal fédéral du 5 juillet 2011 dans la cause 1C_75/2011 consid. 2.1; Alexander RUCH, in Heinz AEMISEGGER/Alfred KUTTLER/Pierre MOOR/Alexander RUCH, Commentaire de la LAT, 2010, n. 24 ad art. 22 LAT). Des nattes en géotextile, utilisées pour aménager une parcelle d'une superficie de 5'773 m2, couvrant les talus en pente depuis plus de deux ans et demi sont indéniablement des éléments durablement fixés au sol (arrêt du 5 septembre 2011 du Tribunal fédéral du 1C_107/2011 consid. 3.3) ; 4.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 par son impact esthétique sur le paysage (Piermarco ZEN-RUFFINEN/Christine GUY-ECABERT, op. cit., p. 216). L'élément déterminant n'est pas tant l'installation en soi que l'utilisation qui en sera faite et en particulier son impact sur l'environnement au sens large ( ATA/244/2013 du 16 avril 2013 ; ATA/61/2011 du 1er février 2011 ; Alexander RUCH, op. cit., ad art. 22 n. 28 ; DFJP/OFAT, Étude relative à la loi fédérale sur l'aménagement du territoire, 1981, ad art. 22 n. 5 ss). 10.         Ainsi le Tribunal fédéral a récemment confirmé qu’étaient soumis à autorisation des serres-tunnels, une cour, des parkings et un chemin litigieux, relevant, concernant les trois derniers qu’il importait peu qu'en l'espèce, le revêtement soit semi-perméable. En effet, de tels aménagements modifiaient sensiblement l'espace extérieur et tombaient par conséquent dans la notion de construction ou d'installation telle que prévue à l'art. 22 al. 1 LAT (arrêt du Tribunal fédéral 1C_112//2023 du 15 décembre 2023 consid. 2.2). Il en a fait de même concernant des clôtures et barrières hors la zone à bâtir (arrêt du Tribunal fédéral 1C_535/2021 du 14 avril 2023 consid. 2.4). 11.         Conformément à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modifier la configuration du terrain (let. d) et aménager des voies de circulation, des places de parcage ou une issue sur la voir publique (let. e). 12.         L'art. 1 al. 1 du règlement d’application de la loi sur les constructions et les installations diverses du 27 février 1978 (RCI – L 5 05.01) précise que sont réputées constructions ou installations toutes choses immobilières ou mobilières édifiées au-dessus ou au-dessous du sol, ainsi que toutes leurs parties intégrantes et accessoires, soit, notamment, les garages et ateliers de réparations, les entrepôts, les dépôts de tous genres (let. c) et les installations extérieures destinées à l’exploitation d’une industrie ou à l’extraction de matières premières (let. e). 13.         Lorsque l'état d'une construction, d'une installation ou d'une autre chose n'est pas conforme aux prescription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14.         De jurisprudence constante, pour être valable, un ordre de mise en conformité doit respecter cinq conditions. Premièrement, il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(cf. ATA/1599/2019 du 29 octobre 2019 consid. 8b ; ATA/213/2018 du 6 mars 2018 consid. 11 ; ATA/1411/2017 du 17 octobre 2017 consid. 4a et les références citées). 15.         Des constructions ou aménagements formellement non autorisés doivent en principe être démolis s'ils ne peuvent pas être légalisés a posteriori (cf. ATF 136 II 359 consid. 6), surtout lorsqu’ils sont réalisés en dehors de la zone à bâtir car le principe de la séparation de l'espace bâti et non bâti, qui préserve différents intérêts publics, est de rang constitutionnel et fait partie intégrante de la notion d'utilisation mesurée du sol de l'art. 75 al. 1 Cst. (cf. Message du Conseil fédéral du 20 janvier 2010 relatif à une révision partielle de la LAT, FF 2010 964 ch. 1.2.1 et 973 ch. 2.1 ; arrêt du Tribunal fédéral 1C_76/2019 du 28 février 2020 consid. 7.1 et les références citées). Cette séparation doit par conséquent, en dehors des exceptions prévues par la loi, demeurer d'application stricte (ATF 132 II 21 consid. 6.4 ; arrêt du Tribunal fédéral 1A.301/2000 du 28 mai 2001 consid. 6c) et l'ordre de démolir une construction ou un ouvrage édifié sans permis et pour lequel une autorisation ne pouvait être accordée n'est en principe pas contraire au principe de la proportionnalité. Si des constructions illégales sont indéfiniment tolérées, ce principe de séparation est remis en question et un comportement contraire au droit s'en trouve récompensé (arrêt du Tribunal fédéral 1C_76/2019 du 28 février 2020 consid. 7.1), alors que celui qui place l'autorité devant un fait accompli doit au contraire s'attendre à ce que celle-ci se préoccupe plus de rétablir une situation conforme au droit que d'éviter les inconvénients qui en découlent pour lui (ATF 123 II 248 consid. 4a et les références ; arrêts du Tribunal fédéral 1C_60/2021 du 27 juillet 2021 consid. 3.1). S'ajoute à cela que la remise en état poursuit encore d'autres intérêts publics, à savoir la limitation du nombre et des dimensions des constructions en zone agricole (cf. ATF 132 II 21 consid. 6.4 ; ATF 111 Ib 213 consid. 6b ; arrêt du Tribunal fédéral 1A.301/2000 du 28 mai 2001 consid. 6c) ainsi que le respect du principe de l'égalité devant la loi (arrêt du Tribunal fédéral 1C_276/2016 du 2 juin 2017 consid. 3.3). 16.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 ATA/738/2017 du 3 octobre 2017 consid. 8). 17.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 18.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 ATA/213/2018 précité consid. 11 ; ATA/738/2017 précité consid. 8 ; ATA/829/2016 du 4 octobre 2016). 19.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 ATA/1399/2019 du 17 septembre 2019 consid. 3c et l'arrêt cité ; ATA/336/2011 du 24 mai 2011 consid. 3b et la référence citées). Elle peut renoncer à un ordre de démolition, conformément au principe de la proportionnalité, si les dérogations à la règle sont mineures, si l'intérêt public lésé n'est pas de nature à justifier le dommage que la démolition causerait au maître de l'ouvrage (sachant que son intérêt purement économique ne saurait avoir le pas sur l'intérêt public au rétablissement d'une situation conforme au droit [arrêt du Tribunal fédéral 1C_544/2014 du 1er avril 2015 consid. 4.2]), si celui-ci pouvait de bonne foi se croire autorisé à construire ou encore s'il y a des chances sérieuses de faire reconnaître la construction comme conforme au droit (cf. ATF 132 II 21 consid. 6 ; ATF 123 II 248 consid. 3a/bb ; arrêt du Tribunal fédéral 1C_60/2021 du 27 juillet 2021 consid. 3.1 ; ATA/1399/2019 du 17 septembre 2019 consid. 3c). 20.         À Genève, ne sont autorisées en zone agricole que les constructions et installations qui sont destinées durablement à l'activité agricole ou horticole et aux personnes l’exerçant à titre principal (art. 20 al. 1 let. a LaLAT) et qui respectent la nature et le paysage (art. 20 al. 1 let. b LaLAT) ainsi que les conditions fixées par les art. 34 ss OAT (art. 20 al. 1 let. c LaLAT). 21.         Le Tribunal fédéral est particulièrement strict en zone agricole et a ainsi confirmé les ordres de démolition ou d'enlèvement des constructions ou installations suivantes érigées sans autorisation : portail d’entrée, clôture, haie, divers bâtiments (pergola, couverts à poules et lapins, containers) et aménagements extérieurs (arrêt du tribunal fédéral 1C_60/2021 du 27 juillet 2021) et : une palissade en bois, un mobil home, un chalet, un sous-sol, des containers utilisés pour loger des employés d'une exploitation agricole, un appentis de 12,54 m2 et un cabanon de jardin de 10,29 m2 (ATF 1C_482/2017 du 26 février 2018). De manière générale dans l'examen de la proportionnalité, les intérêts des propriétaires sont, à juste titre, mis en retrait par rapport à l'importance de préserver la zone agricole d'installations qui n'y ont pas leur place. 22.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dont deux chemins et deux cours servant de parking ( ATA/684/2022 du 28 juin 2022). Plus récemment, elle a confirmé l’ordre de rétablir une situation conforme au droit en procédant à la remise en état du terrain naturel suite à un remblayage effectué sans autorisation ( ATA/111/2024 du 30 janvier 2024), respectivement à l’enlèvement d’une clôture en métal en vue de la garde d’animaux à titre de loisirs ( ATA/1112/2023 du 10 octobre 2023). Ces deux arrêts font l’objet de recours au Tribunal fédéral, en cours d’examen. 5.             S'il peut certes être tenu compte de situations exceptionnelles par le biais de solutions spécifiques, notamment par la fixation d'un délai de remise en état plus long, une utilisation illégale ne doit pas se poursuivre indéfiniment sur la base du simple écoulement du temps (arrêts du Tribunal fédéral 1C_60/2021 du 27 juillet 2021 consid. 3.2.1 ; 1C_469/2019 consid. 5.5 et 5.6). 6.             Enfin,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7.             En l’espèce, il n’est pas contesté que les constructions visées par la décision querellée ne sont pas autorisées, ni d’ailleurs autorisables, en zone agricole. A cet égard, les recourants admettent que les régime d’exception prévus aux art. 24 et ss LAT et 27 LaLAT ne s’appliquaient pas. L’ordre de remise en état est pour le surplus dirigé contre les propriétaires de la parcelle qui sont les perturbateurs. Le délai de péremption de trente ans ne s’applique pas en dehors de la zone à bâtir et il n’apparaît pas que le DT aurait créé d’une quelconque manière des expectatives légitimes qu’il se justifierait de protéger sous l’angle de la bonne foi ; les recourants ne l’invoquent d’ailleurs pas. Il existe un intérêt public certain, de rang constitutionnel, à la préservation de la zone agricole et de la séparation entre espace bâti et non-bâti et le fait que les objets en cause existeraient depuis de très nombreuses années – ce qui n’est manifestement pas le cas, sous leur forme actuelle, à teneur de l’évolution des photographies aériennes disponibles sur le site du SITG –, n’y change rien. On ne voit enfin pas quelle mesure moins incisive permettrait de protéger les intérêts publics compromis, étant de plus rappelé que celui qui place l’autorité devant le fait accompli doit s’attendre à ce que celle-ci se préoccupe davantage de rétablir une situation conforme au droit qu’à éviter les inconvénients qui en découlent pour lui. A cet égard, en relation avec le principe de la proportionnalité, les recourants invoquent que la clôture serait nécessaire pour la sécurité de leurs locataires, des deux chiens de ces derniers et d’éventuels enfants. De tels motifs ne sauraient toutefois légaliser une situation contraire au droit étant relevé que des solutions plus respectueuses de la zone concernée devraient pouvoir être trouvées. Au demeurant, même si les risques mis en avant par les recourants étaient avérés, leurs intérêts purement privés ne l’emporteraient pas sur l’intérêt public et de rang constitutionnel rappelé ci-dessus. En tout état, les locataires restent libres d’emménager dans un autre logement s’ils estiment que leur sécurité n’est plus garantie. Il sera par ailleurs rappelé que l’ordre de démolir une construction ou un ouvrage édifié sans permis et pour lequel une autorisation ne peut être accordée n’est, en principe, pas contraire au principe de proportionnalité. Quant aux cheminements litigieux, l’intérêt des ayants-droits, en particulier les bénéficiaires de la servitude de passage sur la parcelle des recourants, n’apparait pas prépondérant, si tant est qu’il existe, respectivement subsiste, dans la mesure où les parcelles n° 8______, 5______, 7______ et 9______ concernées disposent toutes d’un autre accès à la voie publique. S’agissant enfin des modalités de la remise en état, en particulier du sol, le département a expressément précisé dans sa décision ce qui était attendu, renvoyant au Rapport explicatif du Plan sectoriel des surfaces d'assolement : https://www-are.admin.ch/are/fr/home/developpement-et-amenagement-du-territoire/strategie-et-planification/conceptions-et-plans-sectoriels/plans-sectoriels-de-la-confederation/sda.html) et invitant, au besoin, les recourants, pour toute question à ce sujet, notamment sur la nature des matériaux terreux pouvant être entreposés sur la parcelle et leurs quantités, à prendre contact directement avec le Service de géologie, sols et déchets (…). Il ne fait aucun doute que dans ce cadre un solution pragmatique et respectueuse tant de l’intérêt public à la préservation de la zone agricole que des intérêts privés, notamment financiers, des recourants pourra être trouvée. En conclusion, l’ordre de remise en conformité au droit respecte le principe de proportionnalité et remplit à l’évidence les conditions posées par la jurisprudence. Il doit ainsi être confirmé, le département n’ayant commis aucun excès ou abus de son pouvoir d’appréciation, étant une fois encore rappelé que les intérêts mis en avant par les recourants, pour l’essentiel de confort, ne saurait l'emporter sur l’intérêt public ici protégé. 8.             Au vu de ce qui précède, l’ordre de remise en conformité sera confirmé tant dans son principe que dans ses modalités. 9.             Entièrement mal fondé, le recours doit être rejeté. 10.         En application des art. 87 al. 1 LPA et 1 et 2 du règlement sur les frais, émoluments et indemnités en procédure administrative du 30 juillet 1986 (RFPA - E 5 10.03), les recourants, qui succombent, sont condamnés, conjointement et solidairement, au paiement d’un émolument s'élevant à CHF 900.- ; il est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