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A/766/2005 vom 27. Januar 2005</w:t>
      </w:r>
    </w:p>
    <w:p>
      <w:r>
        <w:t>GE Cour de justice, 2005-01-27, FR</w:t>
      </w:r>
    </w:p>
    <w:p>
      <w:r>
        <w:rPr>
          <w:b/>
        </w:rPr>
        <w:t xml:space="preserve">Quelle: </w:t>
      </w:r>
      <w:r>
        <w:t>https://mcp.opencaselaw.ch/entscheid/ge_gerichte_A_766_2005</w:t>
      </w:r>
    </w:p>
    <w:p>
      <w:r>
        <w:t>FR: GE_GERICHTE A/766/2005 du 27 janvier 2005</w:t>
      </w:r>
    </w:p>
    <w:p>
      <w:r>
        <w:t>IT: GE_GERICHTE A/766/2005 del 27 gennaio 2005</w:t>
      </w:r>
    </w:p>
    <w:p>
      <w:pPr>
        <w:pStyle w:val="Heading2"/>
      </w:pPr>
      <w:r>
        <w:t>Erwägungen</w:t>
      </w:r>
    </w:p>
    <w:p>
      <w:r>
        <w:rPr>
          <w:b/>
        </w:rPr>
        <w:t>E. 3</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w:t>
      </w:r>
    </w:p>
    <w:p>
      <w:r>
        <w:rPr>
          <w:b/>
        </w:rPr>
        <w:t>E. 5</w:t>
      </w:r>
    </w:p>
    <w:p>
      <w:r>
        <w:t>En l’espèce, le juge de première instance a ordonné le partage par moitié des avoirs acquis pendant la durée du mariage, soit du 6 avril 1978 au 12 mars 2005, date à laquelle le jugement de divorce est devenu exécutoire, ce qui n’est pas contesté par les parties. Selon les documents produits, la prestation acquise pendant le mariage par le demandeur est de Fr. 342’287, tandis que celle acquise par son ex-épouse est de Fr. 9'504.-. Dès lors, le Tribunal ordonnera à l’institution de prévoyance du demandeur de transférer le montant de Fr. 166'391.50 (Fr. 171'143.50 – Fr. 4’752.-) auprès de la fondation de prévoyance de son ex-épouse.</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