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A/765/2014 vom 21. Mai 2014</w:t>
      </w:r>
    </w:p>
    <w:p>
      <w:r>
        <w:t>GE Cour de justice, 2014-05-21, FR</w:t>
      </w:r>
    </w:p>
    <w:p>
      <w:r>
        <w:rPr>
          <w:b/>
        </w:rPr>
        <w:t xml:space="preserve">Quelle: </w:t>
      </w:r>
      <w:r>
        <w:t>https://mcp.opencaselaw.ch/entscheid/ge_gerichte_A_765_2014</w:t>
      </w:r>
    </w:p>
    <w:p>
      <w:r>
        <w:t>FR: GE_GERICHTE A/765/2014 du 21 mai 2014</w:t>
      </w:r>
    </w:p>
    <w:p>
      <w:r>
        <w:t>IT: GE_GERICHTE A/765/2014 del 21 maggio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21.05.2014 A/765/2014</w:t>
      </w:r>
    </w:p>
    <w:p>
      <w:r>
        <w:t>A/765/2014 ATAS/631/2014 du 21.05.2014 ( AI ) , RETIRE RÉPUBLIQUE ET CANTON DE GENÈVE POUVOIR JUDICIAIRE A/765/2014 ATAS/631/2014 COUR DE JUSTICE Chambre des assurances sociales Arrêt du 21 mai 2014 4 ème Chambre En la cause Madame A______, domiciliée au LIGNON, comparant avec élection de domicile en l'étude de Maître PETITAT Pierre-Bernard recourante contre OFFICE DE L'ASSURANCE-INVALIDITE DU CANTON DE GENEVE, sis rue des Gares 12, GENEVE intimé Vu la demande de prestations déposée le 18 mai 2010 par Madame A______ (ci-après l’assurée ou la recourante) auprès de l’Office cantonal de l’assurance-invalidité (ci-après l’OAI ou l’intimé) ; Vu la décision de l’OAI du 10 décembre 2012 refusant l’octroi d’une rente ainsi que de mesures professionnelles en faveur de la recourante, motif pris que bien qu’étant reconnue invalide à 100 % depuis 1995, elle ne remplissait pas les conditions d’assurance au moment de la survenance de l’invalidité ; Vu la nouvelle demande déposée par l’assurée le 14 août 2013 ; Vu la décision de l’OAI du 7 février 2014 refusant d’entrer en matière, l’aggravation alléguée n’ayant aucun effet sur l’évaluation initiale ; Vu le recours interjeté par l’assurée le 13 mars 2014 ; Vu la réponse de l’intimé concluant au rejet du recours ; Vu l’audience de comparution personnelle des parties du 21 mai 2014, à l’issue de laquelle la recourante a déclaré retirer son recours ; Considérant en droit que conformément à l'art. 134 al. 1 let. a ch. 2 de la loi sur l'organisation judiciaire, du 26 septembre 2010 (LOJ; RS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 Que sa compétence pour juger du cas d’espèce est ainsi établie ; Que le recours, interjeté en temps utile, est recevable (art. 56 et 60 LPGA) ; Qu’il convient de prendre acte du retrait du recours et de rayer la cause du rôle ; Que la recourante étant au bénéfice de l’assistance juridique, la chambre de céans renonce à percevoir un émolument : PAR CES MOTIFS, LA CHAMBRE DES ASSURANCES SOCIALES : Statuant 1.        Prend acte du retrait du recours.![endif]&gt;![if&gt; 2.        Raye la cause du rôle.![endif]&gt;![if&gt; 3.        Dit qu’il n’est pas perçu d’émolument.![endif]&gt;![if&gt; La greffière Isabelle CASTILLO La présidente Juliana BALDE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