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A/762/2004 vom 23. September 2004</w:t>
      </w:r>
    </w:p>
    <w:p>
      <w:r>
        <w:t>GE Cour de justice, 2004-09-23, FR</w:t>
      </w:r>
    </w:p>
    <w:p>
      <w:r>
        <w:rPr>
          <w:b/>
        </w:rPr>
        <w:t xml:space="preserve">Quelle: </w:t>
      </w:r>
      <w:r>
        <w:t>https://mcp.opencaselaw.ch/entscheid/ge_gerichte_A_762_2004</w:t>
      </w:r>
    </w:p>
    <w:p>
      <w:r>
        <w:t>FR: GE_GERICHTE A/762/2004 du 23 septembre 2004</w:t>
      </w:r>
    </w:p>
    <w:p>
      <w:r>
        <w:t>IT: GE_GERICHTE A/762/2004 del 23 settembre 2004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23.09.2004 A/762/2004</w:t>
      </w:r>
    </w:p>
    <w:p>
      <w:r>
        <w:t>A/762/2004 ATAS/744/2004 du 23.09.2004 ( LAMAL ) RÉPUBLIQUE ET CANTON DE GENÈVE POUVOIR JUDICIAIRE A/762/2004 ATAS/744/2004 ORDONNANCE DU TRIBUNAL CANTONAL DES ASSURANCES SOCIALES du 23 septembre 2004 6 ème Chambre En la cause Madame B__________ et Monsieur B__________ , recourants contre FTMH ASSURANCES MALADIE &amp; ACCIDENTS, Weltpoststrasse 20, 3000 Berne 15 intimée Vu les recours déposés par Madame B__________ et Monsieur B__________ le 14 avril 2004 (causes A/762/2004 et A/763/2004) contre la décision sur opposition de la FTMH-ASSURANCES MALADIE &amp; ACCIDENTS du 10 mars 2004 ; Vu l’article 70 alinéa 1 de la loi sur la procédure administrative du 12 septembre 1985 (LPA) ; Considérant : Que les recours sont dirigés contre la même décision ; Que les faits de ces causes sont identiques ; Qu’il convient dès lors de joindre les affaires en une procédure et d’attribuer la cause A/763/2004 concernant Madame B__________ à la 6 ème Chambre chargée de l’instruction de la cause A/762/2004 ; PAR CES MOTIFS, LE TRIBUNAL CANTONAL DES ASSURANCES SOCIALES : Statuant (conformément à la disposition transitoire de l’article 162 LOJ) Joint la cause A/763/2004 à la cause A/762/2004 ; Dit qu’il n’est pas perçu d’émolument ; La greffière : Nancy BISIN La Présidente : Valérie MONTANI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